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24.10.2023 N 2958-р</w:t>
              <w:br/>
              <w:t xml:space="preserve">(ред. от 15.10.2025)</w:t>
              <w:br/>
              <w:t xml:space="preserve">&lt;Об утверждении Стратегии повышения финансовой грамотности и формирования финансовой культуры до 2030 года&gt;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24 октября 2023 г. N 2958-р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color w:val="392c69"/>
              </w:rPr>
              <w:t xml:space="preserve"> Правительства РФ от 15.10.2025 N 2868-р)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Утвердить прилагаемую разработанную совместно с Банком России и одобренную Советом директоров Банка России </w:t>
      </w:r>
      <w:hyperlink w:history="0" w:anchor="P27" w:tooltip="СТРАТЕГИЯ">
        <w:r>
          <w:rPr>
            <w:sz w:val="20"/>
            <w:color w:val="0000ff"/>
          </w:rPr>
          <w:t xml:space="preserve">Стратегию</w:t>
        </w:r>
      </w:hyperlink>
      <w:r>
        <w:rPr>
          <w:sz w:val="20"/>
        </w:rPr>
        <w:t xml:space="preserve"> повышения финансовой грамотности и формирования финансовой культуры до 2030 года (далее - Стратегия).</w:t>
      </w:r>
    </w:p>
    <w:p>
      <w:pPr>
        <w:pStyle w:val="0"/>
        <w:spacing w:before="200" w:lineRule="auto"/>
        <w:ind w:firstLine="540"/>
        <w:jc w:val="both"/>
      </w:pPr>
      <w:r>
        <w:rPr>
          <w:sz w:val="20"/>
        </w:rPr>
        <w:t xml:space="preserve">2. Минфину России совместно с Банком России разработать с привлечением заинтересованных федеральных органов исполнительной власти и организаций и утвердить в 2-месячный срок </w:t>
      </w:r>
      <w:hyperlink w:history="0" r:id="rId9" w:tooltip="&quot;План мероприятий (&quot;дорожная карта&quot;) по реализации Стратегии повышения финансовой грамотности и формирования финансовой культуры до 2030 года&quot; (утв. Банком России N ПМ-01-59/42, Минфином России N 12-12-11/ВН-10583 26.03.2026) {КонсультантПлюс}">
        <w:r>
          <w:rPr>
            <w:sz w:val="20"/>
            <w:color w:val="0000ff"/>
          </w:rPr>
          <w:t xml:space="preserve">план</w:t>
        </w:r>
      </w:hyperlink>
      <w:r>
        <w:rPr>
          <w:sz w:val="20"/>
        </w:rPr>
        <w:t xml:space="preserve"> мероприятий ("дорожную карту") по реализации </w:t>
      </w:r>
      <w:hyperlink w:history="0" w:anchor="P27" w:tooltip="СТРАТЕГИЯ">
        <w:r>
          <w:rPr>
            <w:sz w:val="20"/>
            <w:color w:val="0000ff"/>
          </w:rPr>
          <w:t xml:space="preserve">Стратегии</w:t>
        </w:r>
      </w:hyperlink>
      <w:r>
        <w:rPr>
          <w:sz w:val="20"/>
        </w:rPr>
        <w:t xml:space="preserve">.</w:t>
      </w:r>
    </w:p>
    <w:p>
      <w:pPr>
        <w:pStyle w:val="0"/>
        <w:spacing w:before="200" w:lineRule="auto"/>
        <w:ind w:firstLine="540"/>
        <w:jc w:val="both"/>
      </w:pPr>
      <w:r>
        <w:rPr>
          <w:sz w:val="20"/>
        </w:rPr>
        <w:t xml:space="preserve">3. Федеральным органам исполнительной власти руководствоваться положениями </w:t>
      </w:r>
      <w:hyperlink w:history="0" w:anchor="P27" w:tooltip="СТРАТЕГИЯ">
        <w:r>
          <w:rPr>
            <w:sz w:val="20"/>
            <w:color w:val="0000ff"/>
          </w:rPr>
          <w:t xml:space="preserve">Стратегии</w:t>
        </w:r>
      </w:hyperlink>
      <w:r>
        <w:rPr>
          <w:sz w:val="20"/>
        </w:rPr>
        <w:t xml:space="preserve"> при разработке и реализации государственных программ Российской Федерации и иных документов.</w:t>
      </w:r>
    </w:p>
    <w:p>
      <w:pPr>
        <w:pStyle w:val="0"/>
        <w:spacing w:before="200" w:lineRule="auto"/>
        <w:ind w:firstLine="540"/>
        <w:jc w:val="both"/>
      </w:pPr>
      <w:r>
        <w:rPr>
          <w:sz w:val="20"/>
        </w:rPr>
        <w:t xml:space="preserve">4. Рекомендовать органам государственной власти субъектов Российской Федерации и органам местного самоуправления руководствоваться положениями </w:t>
      </w:r>
      <w:hyperlink w:history="0" w:anchor="P27" w:tooltip="СТРАТЕГИЯ">
        <w:r>
          <w:rPr>
            <w:sz w:val="20"/>
            <w:color w:val="0000ff"/>
          </w:rPr>
          <w:t xml:space="preserve">Стратегии</w:t>
        </w:r>
      </w:hyperlink>
      <w:r>
        <w:rPr>
          <w:sz w:val="20"/>
        </w:rPr>
        <w:t xml:space="preserve"> при разработке и реализации государственных программ субъектов Российской Федерации (региональных программ), направленных на повышение финансовой грамотности и формирование финансовой культуры, и иных документов.</w:t>
      </w:r>
    </w:p>
    <w:p>
      <w:pPr>
        <w:pStyle w:val="0"/>
        <w:spacing w:before="200" w:lineRule="auto"/>
        <w:ind w:firstLine="540"/>
        <w:jc w:val="both"/>
      </w:pPr>
      <w:r>
        <w:rPr>
          <w:sz w:val="20"/>
        </w:rPr>
        <w:t xml:space="preserve">5. Настоящее распоряжение вступает в силу с 1 января 2024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24 октября 2023 г. N 2958-р</w:t>
      </w:r>
    </w:p>
    <w:p>
      <w:pPr>
        <w:pStyle w:val="0"/>
        <w:jc w:val="both"/>
      </w:pPr>
      <w:r>
        <w:rPr>
          <w:sz w:val="20"/>
        </w:rPr>
      </w:r>
    </w:p>
    <w:bookmarkStart w:id="27" w:name="P27"/>
    <w:bookmarkEnd w:id="27"/>
    <w:p>
      <w:pPr>
        <w:pStyle w:val="2"/>
        <w:jc w:val="center"/>
      </w:pPr>
      <w:r>
        <w:rPr>
          <w:sz w:val="20"/>
        </w:rPr>
        <w:t xml:space="preserve">СТРАТЕГИЯ</w:t>
      </w:r>
    </w:p>
    <w:p>
      <w:pPr>
        <w:pStyle w:val="2"/>
        <w:jc w:val="center"/>
      </w:pPr>
      <w:r>
        <w:rPr>
          <w:sz w:val="20"/>
        </w:rPr>
        <w:t xml:space="preserve">ПОВЫШЕНИЯ ФИНАНСОВОЙ ГРАМОТНОСТИ И ФОРМИРОВАНИЯ ФИНАНСОВОЙ</w:t>
      </w:r>
    </w:p>
    <w:p>
      <w:pPr>
        <w:pStyle w:val="2"/>
        <w:jc w:val="center"/>
      </w:pPr>
      <w:r>
        <w:rPr>
          <w:sz w:val="20"/>
        </w:rPr>
        <w:t xml:space="preserve">КУЛЬТУРЫ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color w:val="392c69"/>
              </w:rPr>
              <w:t xml:space="preserve"> Правительства РФ от 15.10.2025 N 2868-р)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Устойчивое повышение качества и уровня жизни граждан требует повышения финансовой грамотности и формирования финансовой культуры, обеспечения финансового благополучия граждан, осознанного использования ими финансовых продуктов и услуг, разумного принятия финансовых решений, инвестирования и управления рисками.</w:t>
      </w:r>
    </w:p>
    <w:p>
      <w:pPr>
        <w:pStyle w:val="0"/>
        <w:spacing w:before="200" w:lineRule="auto"/>
        <w:ind w:firstLine="540"/>
        <w:jc w:val="both"/>
      </w:pPr>
      <w:r>
        <w:rPr>
          <w:sz w:val="20"/>
        </w:rPr>
        <w:t xml:space="preserve">В период 2017 - 2023 годов повышение финансовой грамотности осуществлялось в рамках </w:t>
      </w:r>
      <w:hyperlink w:history="0" r:id="rId11"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повышения финансовой грамотности в Российской Федерации, утвержденной распоряжением Правительства Российской Федерации от 25 сентября 2017 г. N 2039-р (далее - Стратегия 2017 - 2023 годов).</w:t>
      </w:r>
    </w:p>
    <w:p>
      <w:pPr>
        <w:pStyle w:val="0"/>
        <w:spacing w:before="200" w:lineRule="auto"/>
        <w:ind w:firstLine="540"/>
        <w:jc w:val="both"/>
      </w:pPr>
      <w:r>
        <w:rPr>
          <w:sz w:val="20"/>
        </w:rPr>
        <w:t xml:space="preserve">Стратегия повышения финансовой грамотности и формирования финансовой культуры до 2030 года (далее - Стратегия) определяет приоритеты, цели, задачи и инструменты их достижения на период до 2030 года в сфере повышения финансовой грамотности и формирования финансовой культуры граждан, укрепления системы финансового образования и просвещения, обеспечения прав и интересов потребителей финансовых услуг, финансовой безопасности граждан.</w:t>
      </w:r>
    </w:p>
    <w:p>
      <w:pPr>
        <w:pStyle w:val="0"/>
        <w:spacing w:before="200" w:lineRule="auto"/>
        <w:ind w:firstLine="540"/>
        <w:jc w:val="both"/>
      </w:pPr>
      <w:r>
        <w:rPr>
          <w:sz w:val="20"/>
        </w:rPr>
        <w:t xml:space="preserve">Стратегия призвана способствовать достижению национальных целей развития Российской Федерации, определенных </w:t>
      </w:r>
      <w:hyperlink w:history="0" r:id="rId12"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Указом</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0"/>
        <w:jc w:val="both"/>
      </w:pPr>
      <w:r>
        <w:rPr>
          <w:sz w:val="20"/>
        </w:rPr>
        <w:t xml:space="preserve">(в ред. </w:t>
      </w:r>
      <w:hyperlink w:history="0" r:id="rId13"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p>
      <w:pPr>
        <w:pStyle w:val="0"/>
        <w:spacing w:before="200" w:lineRule="auto"/>
        <w:ind w:firstLine="540"/>
        <w:jc w:val="both"/>
      </w:pPr>
      <w:r>
        <w:rPr>
          <w:sz w:val="20"/>
        </w:rPr>
        <w:t xml:space="preserve">Стратегия основывается на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Федеральном </w:t>
      </w:r>
      <w:hyperlink w:history="0" r:id="rId15"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законе</w:t>
        </w:r>
      </w:hyperlink>
      <w:r>
        <w:rPr>
          <w:sz w:val="20"/>
        </w:rPr>
        <w:t xml:space="preserve"> "О стратегическом планировании в Российской Федерации", </w:t>
      </w:r>
      <w:hyperlink w:history="0" r:id="rId16"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Законе</w:t>
        </w:r>
      </w:hyperlink>
      <w:r>
        <w:rPr>
          <w:sz w:val="20"/>
        </w:rPr>
        <w:t xml:space="preserve"> Российской Федерации "О защите прав потребителей", Федеральном </w:t>
      </w:r>
      <w:hyperlink w:history="0" r:id="rId17" w:tooltip="Федеральный закон от 29.12.2012 N 273-ФЗ (ред. от 25.04.2026) &quot;Об образовании в Российской Федерации&quot; {КонсультантПлюс}">
        <w:r>
          <w:rPr>
            <w:sz w:val="20"/>
            <w:color w:val="0000ff"/>
          </w:rPr>
          <w:t xml:space="preserve">законе</w:t>
        </w:r>
      </w:hyperlink>
      <w:r>
        <w:rPr>
          <w:sz w:val="20"/>
        </w:rPr>
        <w:t xml:space="preserve"> "Об образовании в Российской Федерации", других федеральных законах, а также на нормативных правовых актах Правительства Российской Федерации и федеральных органов исполнительной власти, регулирующих отношения, возникающие в сфере повышения финансовой грамотности и формирования финансовой культуры граждан.</w:t>
      </w:r>
    </w:p>
    <w:p>
      <w:pPr>
        <w:pStyle w:val="0"/>
        <w:spacing w:before="200" w:lineRule="auto"/>
        <w:ind w:firstLine="540"/>
        <w:jc w:val="both"/>
      </w:pPr>
      <w:r>
        <w:rPr>
          <w:sz w:val="20"/>
        </w:rPr>
        <w:t xml:space="preserve">Стратегия учитывает принятые документы, связанные с вопросами повышения финансовой грамотности и формирования финансовой культуры граждан, в том числе:</w:t>
      </w:r>
    </w:p>
    <w:p>
      <w:pPr>
        <w:pStyle w:val="0"/>
        <w:spacing w:before="200" w:lineRule="auto"/>
        <w:ind w:firstLine="540"/>
        <w:jc w:val="both"/>
      </w:pPr>
      <w:r>
        <w:rPr>
          <w:sz w:val="20"/>
        </w:rPr>
        <w:t xml:space="preserve">государственную </w:t>
      </w:r>
      <w:hyperlink w:history="0" r:id="rId18" w:tooltip="Постановление Правительства РФ от 15.04.2014 N 320 (ред. от 21.02.2026) &quot;Об утверждении государственной программы Российской Федерации &quot;Управление государственными финансами и регулирование финансовых рынков&quot; {КонсультантПлюс}">
        <w:r>
          <w:rPr>
            <w:sz w:val="20"/>
            <w:color w:val="0000ff"/>
          </w:rPr>
          <w:t xml:space="preserve">программу</w:t>
        </w:r>
      </w:hyperlink>
      <w:r>
        <w:rPr>
          <w:sz w:val="20"/>
        </w:rPr>
        <w:t xml:space="preserve"> Российской Федерации "Управление государственными финансами и регулирование финансовых рынков", утвержденную постановлением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w:t>
      </w:r>
    </w:p>
    <w:p>
      <w:pPr>
        <w:pStyle w:val="0"/>
        <w:spacing w:before="200" w:lineRule="auto"/>
        <w:ind w:firstLine="540"/>
        <w:jc w:val="both"/>
      </w:pPr>
      <w:r>
        <w:rPr>
          <w:sz w:val="20"/>
        </w:rPr>
        <w:t xml:space="preserve">государственную </w:t>
      </w:r>
      <w:hyperlink w:history="0" r:id="rId19"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0"/>
            <w:color w:val="0000ff"/>
          </w:rPr>
          <w:t xml:space="preserve">программу</w:t>
        </w:r>
      </w:hyperlink>
      <w:r>
        <w:rPr>
          <w:sz w:val="20"/>
        </w:rPr>
        <w:t xml:space="preserve"> Российской Федерации "Развитие образования", утвержденную постановлением Правительства Российской Федерации от 26 декабря 2017 г. N 1642 "Об утверждении государственной программы Российской Федерации "Развитие образования";</w:t>
      </w:r>
    </w:p>
    <w:p>
      <w:pPr>
        <w:pStyle w:val="0"/>
        <w:spacing w:before="200" w:lineRule="auto"/>
        <w:ind w:firstLine="540"/>
        <w:jc w:val="both"/>
      </w:pPr>
      <w:hyperlink w:history="0" r:id="rId20" w:tooltip="Распоряжение Правительства РФ от 29.05.2015 N 996-р &lt;Об утверждении Стратегии развития воспитания в Российской Федерации на период до 2025 года&gt; {КонсультантПлюс}">
        <w:r>
          <w:rPr>
            <w:sz w:val="20"/>
            <w:color w:val="0000ff"/>
          </w:rPr>
          <w:t xml:space="preserve">Стратегию</w:t>
        </w:r>
      </w:hyperlink>
      <w:r>
        <w:rPr>
          <w:sz w:val="20"/>
        </w:rPr>
        <w:t xml:space="preserve"> развития воспитания в Российской Федерации на период до 2025 года, утвержденную распоряжением Правительства Российской Федерации от 29 мая 2015 г. N 996-р;</w:t>
      </w:r>
    </w:p>
    <w:p>
      <w:pPr>
        <w:pStyle w:val="0"/>
        <w:spacing w:before="200" w:lineRule="auto"/>
        <w:ind w:firstLine="540"/>
        <w:jc w:val="both"/>
      </w:pPr>
      <w:r>
        <w:rPr>
          <w:sz w:val="20"/>
        </w:rPr>
        <w:t xml:space="preserve">Стратегию</w:t>
      </w:r>
      <w:r>
        <w:rPr>
          <w:sz w:val="20"/>
        </w:rPr>
        <w:t xml:space="preserve"> государственной политики Российской Федерации в области защиты прав потребителей на период до 2030 года, утвержденную распоряжением Правительства Российской Федерации от 28 августа 2017 г. N 1837-р;</w:t>
      </w:r>
    </w:p>
    <w:p>
      <w:pPr>
        <w:pStyle w:val="0"/>
        <w:spacing w:before="200" w:lineRule="auto"/>
        <w:ind w:firstLine="540"/>
        <w:jc w:val="both"/>
      </w:pPr>
      <w:r>
        <w:rPr>
          <w:sz w:val="20"/>
        </w:rPr>
        <w:t xml:space="preserve">Единый </w:t>
      </w:r>
      <w:hyperlink w:history="0" r:id="rId21" w:tooltip="&quot;Единый план по достижению национальных целей развития Российской Федерации до 2030 года и на перспективу до 2036 года&quot; (утв. Правительством РФ) {КонсультантПлюс}">
        <w:r>
          <w:rPr>
            <w:sz w:val="20"/>
            <w:color w:val="0000ff"/>
          </w:rPr>
          <w:t xml:space="preserve">план</w:t>
        </w:r>
      </w:hyperlink>
      <w:r>
        <w:rPr>
          <w:sz w:val="20"/>
        </w:rPr>
        <w:t xml:space="preserve"> по достижению национальных целей развития Российской Федерации до 2030 года и на перспективу до 2036 года;</w:t>
      </w:r>
    </w:p>
    <w:p>
      <w:pPr>
        <w:pStyle w:val="0"/>
        <w:jc w:val="both"/>
      </w:pPr>
      <w:r>
        <w:rPr>
          <w:sz w:val="20"/>
        </w:rPr>
        <w:t xml:space="preserve">(в ред. </w:t>
      </w:r>
      <w:hyperlink w:history="0" r:id="rId22"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p>
      <w:pPr>
        <w:pStyle w:val="0"/>
        <w:spacing w:before="200" w:lineRule="auto"/>
        <w:ind w:firstLine="540"/>
        <w:jc w:val="both"/>
      </w:pPr>
      <w:hyperlink w:history="0" r:id="rId23" w:tooltip="Распоряжение Правительства РФ от 24.06.2022 N 1688-р &lt;Об утверждении Концепции подготовки педагогических кадров для системы образования на период до 2030 года&gt; {КонсультантПлюс}">
        <w:r>
          <w:rPr>
            <w:sz w:val="20"/>
            <w:color w:val="0000ff"/>
          </w:rPr>
          <w:t xml:space="preserve">Концепцию</w:t>
        </w:r>
      </w:hyperlink>
      <w:r>
        <w:rPr>
          <w:sz w:val="20"/>
        </w:rPr>
        <w:t xml:space="preserve"> подготовки педагогических кадров для системы образования на период до 2030 года, утвержденную распоряжением Правительства Российской Федерации от 24 июня 2022 г. N 1688-р;</w:t>
      </w:r>
    </w:p>
    <w:p>
      <w:pPr>
        <w:pStyle w:val="0"/>
        <w:spacing w:before="200" w:lineRule="auto"/>
        <w:ind w:firstLine="540"/>
        <w:jc w:val="both"/>
      </w:pPr>
      <w:hyperlink w:history="0" r:id="rId24" w:tooltip="Распоряжение Правительства РФ от 22.12.2022 N 4088-р &lt;Об утверждении Концепции формирования и развития культуры информационной безопасности граждан Российской Федерации&gt; {КонсультантПлюс}">
        <w:r>
          <w:rPr>
            <w:sz w:val="20"/>
            <w:color w:val="0000ff"/>
          </w:rPr>
          <w:t xml:space="preserve">Концепцию</w:t>
        </w:r>
      </w:hyperlink>
      <w:r>
        <w:rPr>
          <w:sz w:val="20"/>
        </w:rPr>
        <w:t xml:space="preserve"> формирования и развития культуры информационной безопасности граждан Российской Федерации, утвержденную распоряжением Правительства Российской Федерации от 22 декабря 2022 г. N 4088-р;</w:t>
      </w:r>
    </w:p>
    <w:p>
      <w:pPr>
        <w:pStyle w:val="0"/>
        <w:spacing w:before="200" w:lineRule="auto"/>
        <w:ind w:firstLine="540"/>
        <w:jc w:val="both"/>
      </w:pPr>
      <w:hyperlink w:history="0" r:id="rId25" w:tooltip="Распоряжение Правительства РФ от 29.12.2022 N 4355-р (ред. от 21.12.2023) &lt;Об утверждении Стратегии развития финансового рынка РФ до 2030 года&gt; {КонсультантПлюс}">
        <w:r>
          <w:rPr>
            <w:sz w:val="20"/>
            <w:color w:val="0000ff"/>
          </w:rPr>
          <w:t xml:space="preserve">Стратегию</w:t>
        </w:r>
      </w:hyperlink>
      <w:r>
        <w:rPr>
          <w:sz w:val="20"/>
        </w:rPr>
        <w:t xml:space="preserve"> развития финансового рынка Российской Федерации до 2030 года, утвержденную распоряжением Правительства Российской Федерации от 29 декабря 2022 г. N 4355-р;</w:t>
      </w:r>
    </w:p>
    <w:p>
      <w:pPr>
        <w:pStyle w:val="0"/>
        <w:spacing w:before="200" w:lineRule="auto"/>
        <w:ind w:firstLine="540"/>
        <w:jc w:val="both"/>
      </w:pPr>
      <w:r>
        <w:rPr>
          <w:sz w:val="20"/>
        </w:rPr>
        <w:t xml:space="preserve">Основные направления развития финансового рынка Российской Федерации на 2025 год и период 2026 и 2027 годов, одобренные </w:t>
      </w:r>
      <w:hyperlink w:history="0" r:id="rId26" w:tooltip="Решение Совета директоров Банка России от 20.12.2024 &quot;О формировании резервов по отдельным ссудам, требованиям и условным обязательствам кредитного характера&quot; ------------ Утратил силу или отменен {КонсультантПлюс}">
        <w:r>
          <w:rPr>
            <w:sz w:val="20"/>
            <w:color w:val="0000ff"/>
          </w:rPr>
          <w:t xml:space="preserve">решением</w:t>
        </w:r>
      </w:hyperlink>
      <w:r>
        <w:rPr>
          <w:sz w:val="20"/>
        </w:rPr>
        <w:t xml:space="preserve"> Совета директоров Центрального банка Российской Федерации 20 декабря 2024 г.</w:t>
      </w:r>
    </w:p>
    <w:p>
      <w:pPr>
        <w:pStyle w:val="0"/>
        <w:jc w:val="both"/>
      </w:pPr>
      <w:r>
        <w:rPr>
          <w:sz w:val="20"/>
        </w:rPr>
        <w:t xml:space="preserve">(в ред. </w:t>
      </w:r>
      <w:hyperlink w:history="0" r:id="rId27"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p>
      <w:pPr>
        <w:pStyle w:val="0"/>
        <w:spacing w:before="200" w:lineRule="auto"/>
        <w:ind w:firstLine="540"/>
        <w:jc w:val="both"/>
      </w:pPr>
      <w:r>
        <w:rPr>
          <w:sz w:val="20"/>
        </w:rPr>
        <w:t xml:space="preserve">В Стратегии используются следующие термины:</w:t>
      </w:r>
    </w:p>
    <w:p>
      <w:pPr>
        <w:pStyle w:val="0"/>
        <w:spacing w:before="200" w:lineRule="auto"/>
        <w:ind w:firstLine="540"/>
        <w:jc w:val="both"/>
      </w:pPr>
      <w:r>
        <w:rPr>
          <w:sz w:val="20"/>
        </w:rPr>
        <w:t xml:space="preserve">"финансовая грамотность" - основные знания, умения и навыки, необходимые для принятия финансовых решений в целях достижения финансового благополучия и управления финансовыми рисками;</w:t>
      </w:r>
    </w:p>
    <w:p>
      <w:pPr>
        <w:pStyle w:val="0"/>
        <w:spacing w:before="200" w:lineRule="auto"/>
        <w:ind w:firstLine="540"/>
        <w:jc w:val="both"/>
      </w:pPr>
      <w:r>
        <w:rPr>
          <w:sz w:val="20"/>
        </w:rPr>
        <w:t xml:space="preserve">"финансовая культура" - ценности, установки и поведенческие практики граждан в финансовой сфере, зависящие от воспитания, уровня финансовой грамотности, опыта принятия финансовых решений, уровня развития финансового рынка и общественных институтов.</w:t>
      </w:r>
    </w:p>
    <w:p>
      <w:pPr>
        <w:pStyle w:val="0"/>
        <w:jc w:val="both"/>
      </w:pPr>
      <w:r>
        <w:rPr>
          <w:sz w:val="20"/>
        </w:rPr>
      </w:r>
    </w:p>
    <w:p>
      <w:pPr>
        <w:pStyle w:val="2"/>
        <w:outlineLvl w:val="1"/>
        <w:jc w:val="center"/>
      </w:pPr>
      <w:r>
        <w:rPr>
          <w:sz w:val="20"/>
        </w:rPr>
        <w:t xml:space="preserve">II. Общее состояние финансовой грамотности и финансовой</w:t>
      </w:r>
    </w:p>
    <w:p>
      <w:pPr>
        <w:pStyle w:val="2"/>
        <w:jc w:val="center"/>
      </w:pPr>
      <w:r>
        <w:rPr>
          <w:sz w:val="20"/>
        </w:rPr>
        <w:t xml:space="preserve">культуры в Российской Федерации</w:t>
      </w:r>
    </w:p>
    <w:p>
      <w:pPr>
        <w:pStyle w:val="0"/>
        <w:jc w:val="both"/>
      </w:pPr>
      <w:r>
        <w:rPr>
          <w:sz w:val="20"/>
        </w:rPr>
      </w:r>
    </w:p>
    <w:p>
      <w:pPr>
        <w:pStyle w:val="0"/>
        <w:ind w:firstLine="540"/>
        <w:jc w:val="both"/>
      </w:pPr>
      <w:r>
        <w:rPr>
          <w:sz w:val="20"/>
        </w:rPr>
        <w:t xml:space="preserve">В период 2017 - 2023 годов совместными действиями Центрального банка Российской Федерации, Министерства финансов Российской Федерации и других федеральных органов исполнительной власти в сфере повышения финансовой грамотности достигнуты следующие результаты:</w:t>
      </w:r>
    </w:p>
    <w:p>
      <w:pPr>
        <w:pStyle w:val="0"/>
        <w:spacing w:before="200" w:lineRule="auto"/>
        <w:ind w:firstLine="540"/>
        <w:jc w:val="both"/>
      </w:pPr>
      <w:r>
        <w:rPr>
          <w:sz w:val="20"/>
        </w:rPr>
        <w:t xml:space="preserve">элементы финансовой грамотности включены в федеральные государственные образовательные стандарты на всех уровнях образования (финансовая грамотность преподается в 98 процентах общеобразовательных организаций и 96 процентах профессиональных образовательных организаций с охватом 78 процентов учащихся и 69 процентов студентов соответственно);</w:t>
      </w:r>
    </w:p>
    <w:p>
      <w:pPr>
        <w:pStyle w:val="0"/>
        <w:spacing w:before="200" w:lineRule="auto"/>
        <w:ind w:firstLine="540"/>
        <w:jc w:val="both"/>
      </w:pPr>
      <w:r>
        <w:rPr>
          <w:sz w:val="20"/>
        </w:rPr>
        <w:t xml:space="preserve">Межведомственной координационной комиссией по реализации </w:t>
      </w:r>
      <w:hyperlink w:history="0" r:id="rId28"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2017 - 2023 годов утверждена единая рамка компетенций по финансовой грамотности, объединяющая в себе компетенции по финансовой грамотности для учащихся и для взрослых граждан;</w:t>
      </w:r>
    </w:p>
    <w:p>
      <w:pPr>
        <w:pStyle w:val="0"/>
        <w:spacing w:before="200" w:lineRule="auto"/>
        <w:ind w:firstLine="540"/>
        <w:jc w:val="both"/>
      </w:pPr>
      <w:r>
        <w:rPr>
          <w:sz w:val="20"/>
        </w:rPr>
        <w:t xml:space="preserve">на базе ведущих образовательных организаций высшего образования (федеральное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федеральное государственное бюджетное образовательное учреждение высшего образования "Российский экономический университет имени Г.В. Плеханова") созданы 5 федеральных методических центров повышения финансовой грамотности населения, осуществляющих образовательно-просветительскую работу с разными возрастными группами граждан (учащиеся, студенты, взрослые граждане, граждане старшего возраста);</w:t>
      </w:r>
    </w:p>
    <w:p>
      <w:pPr>
        <w:pStyle w:val="0"/>
        <w:spacing w:before="200" w:lineRule="auto"/>
        <w:ind w:firstLine="540"/>
        <w:jc w:val="both"/>
      </w:pPr>
      <w:r>
        <w:rPr>
          <w:sz w:val="20"/>
        </w:rPr>
        <w:t xml:space="preserve">обучено более 135 тыс. педагогических работников общеобразовательных и профессиональных образовательных организаций, преподавателей и работников административно-управленческого персонала образовательных организаций высшего образования, а также специалистов в области финансового просвещения по программам повышения квалификации, содержащим элементы финансовой грамотности;</w:t>
      </w:r>
    </w:p>
    <w:p>
      <w:pPr>
        <w:pStyle w:val="0"/>
        <w:spacing w:before="200" w:lineRule="auto"/>
        <w:ind w:firstLine="540"/>
        <w:jc w:val="both"/>
      </w:pPr>
      <w:r>
        <w:rPr>
          <w:sz w:val="20"/>
        </w:rPr>
        <w:t xml:space="preserve">проведены олимпиады по финансовой грамотности, в которых приняли участие более 350 тыс. учащихся и студентов;</w:t>
      </w:r>
    </w:p>
    <w:p>
      <w:pPr>
        <w:pStyle w:val="0"/>
        <w:spacing w:before="200" w:lineRule="auto"/>
        <w:ind w:firstLine="540"/>
        <w:jc w:val="both"/>
      </w:pPr>
      <w:r>
        <w:rPr>
          <w:sz w:val="20"/>
        </w:rPr>
        <w:t xml:space="preserve">совокупный охват информационно-коммуникационной кампанией в области финансового просвещения составил свыше 60 млн. граждан (включая целевые аудитории, находящиеся в фокусе реализации </w:t>
      </w:r>
      <w:hyperlink w:history="0" r:id="rId29"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2017 - 2023 годов, а именно граждан старшего возраста, лиц с ограниченными возможностями здоровья, граждан, попавших в сложную финансовую ситуацию, детей-сирот и детей, оставшихся без попечения родителей, представителей малого и среднего предпринимательства, военнослужащих), в том числе путем:</w:t>
      </w:r>
    </w:p>
    <w:p>
      <w:pPr>
        <w:pStyle w:val="0"/>
        <w:spacing w:before="200" w:lineRule="auto"/>
        <w:ind w:firstLine="540"/>
        <w:jc w:val="both"/>
      </w:pPr>
      <w:r>
        <w:rPr>
          <w:sz w:val="20"/>
        </w:rPr>
        <w:t xml:space="preserve">организации и проведения мероприятий с использованием цифрового и онлайн-форматов (в различных мероприятиях, онлайн-уроках и обучающих вебинарах по финансовой грамотности, реализованных Министерством финансов Российской Федерации и Центральным банком Российской Федерации совместно с партнерами, только в 2022 году приняли участие более 30 млн. граждан, в том числе свыше 12 млн. граждан посмотрели онлайн-уроки финансовой грамотности, более 3 млн. граждан приняли участие в онлайн-зачете по финансовой грамотности, более 4,3 млн. граждан стали аудиторией ипотечного марафона, ежемесячно порталы "Финансовая культура" и "Мои финансы" посещали 1,1 млн. уникальных пользователей);</w:t>
      </w:r>
    </w:p>
    <w:p>
      <w:pPr>
        <w:pStyle w:val="0"/>
        <w:spacing w:before="200" w:lineRule="auto"/>
        <w:ind w:firstLine="540"/>
        <w:jc w:val="both"/>
      </w:pPr>
      <w:r>
        <w:rPr>
          <w:sz w:val="20"/>
        </w:rPr>
        <w:t xml:space="preserve">медийного продвижения информационных материалов по финансовой грамотности с использованием цифровых ресурсов, в том числе официальных сайтов участников реализации </w:t>
      </w:r>
      <w:hyperlink w:history="0" r:id="rId30"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2017 - 2023 годов, а также федеральной государственной информационной системы "Единый портал государственных и муниципальных услуг (функций)", средств массовой информации и социальных сетей, онлайн-приложений и голосовых помощников, мультфильмов и онлайн-игр по финансовой грамотности, форматов социальной рекламы;</w:t>
      </w:r>
    </w:p>
    <w:p>
      <w:pPr>
        <w:pStyle w:val="0"/>
        <w:spacing w:before="200" w:lineRule="auto"/>
        <w:ind w:firstLine="540"/>
        <w:jc w:val="both"/>
      </w:pPr>
      <w:r>
        <w:rPr>
          <w:sz w:val="20"/>
        </w:rPr>
        <w:t xml:space="preserve">организовано движение волонтеров финансового просвещения, насчитывающее более 11 тыс. граждан во всех регионах страны, активно осуществляющих просветительскую деятельность со всеми целевыми аудиториями, в том числе с гражданами старшего возраста, жителями отдаленных населенных пунктов, лицами, оказавшимися в трудной жизненной ситуации;</w:t>
      </w:r>
    </w:p>
    <w:p>
      <w:pPr>
        <w:pStyle w:val="0"/>
        <w:spacing w:before="200" w:lineRule="auto"/>
        <w:ind w:firstLine="540"/>
        <w:jc w:val="both"/>
      </w:pPr>
      <w:r>
        <w:rPr>
          <w:sz w:val="20"/>
        </w:rPr>
        <w:t xml:space="preserve">на системной основе обеспечена координационная и экспертная поддержка деятельности субъектов Российской Федерации, по итогам которой:</w:t>
      </w:r>
    </w:p>
    <w:p>
      <w:pPr>
        <w:pStyle w:val="0"/>
        <w:spacing w:before="200" w:lineRule="auto"/>
        <w:ind w:firstLine="540"/>
        <w:jc w:val="both"/>
      </w:pPr>
      <w:r>
        <w:rPr>
          <w:sz w:val="20"/>
        </w:rPr>
        <w:t xml:space="preserve">в 85 регионах утверждены и реализуются собственные программы повышения финансовой грамотности, созданы координационные органы по вопросам финансовой грамотности;</w:t>
      </w:r>
    </w:p>
    <w:p>
      <w:pPr>
        <w:pStyle w:val="0"/>
        <w:spacing w:before="200" w:lineRule="auto"/>
        <w:ind w:firstLine="540"/>
        <w:jc w:val="both"/>
      </w:pPr>
      <w:r>
        <w:rPr>
          <w:sz w:val="20"/>
        </w:rPr>
        <w:t xml:space="preserve">в 53 регионах созданы и функционируют региональные центры финансовой грамотности;</w:t>
      </w:r>
    </w:p>
    <w:p>
      <w:pPr>
        <w:pStyle w:val="0"/>
        <w:spacing w:before="200" w:lineRule="auto"/>
        <w:ind w:firstLine="540"/>
        <w:jc w:val="both"/>
      </w:pPr>
      <w:r>
        <w:rPr>
          <w:sz w:val="20"/>
        </w:rPr>
        <w:t xml:space="preserve">в 77 регионах реализуются практики инициативного бюджетирования и (или) иные практики вовлечения граждан в процессы управления, основанные на интернет-решениях (далее - иные практики), благодаря которым граждане вовлекаются в процесс формирования, обсуждения, принятия и реализации решений, в том числе в бюджетной сфере;</w:t>
      </w:r>
    </w:p>
    <w:p>
      <w:pPr>
        <w:pStyle w:val="0"/>
        <w:spacing w:before="200" w:lineRule="auto"/>
        <w:ind w:firstLine="540"/>
        <w:jc w:val="both"/>
      </w:pPr>
      <w:r>
        <w:rPr>
          <w:sz w:val="20"/>
        </w:rPr>
        <w:t xml:space="preserve">в 14 регионах созданы ресурсные центры волонтеров финансового просвещения.</w:t>
      </w:r>
    </w:p>
    <w:p>
      <w:pPr>
        <w:pStyle w:val="0"/>
        <w:spacing w:before="200" w:lineRule="auto"/>
        <w:ind w:firstLine="540"/>
        <w:jc w:val="both"/>
      </w:pPr>
      <w:r>
        <w:rPr>
          <w:sz w:val="20"/>
        </w:rPr>
        <w:t xml:space="preserve">Таким образом, за период реализации </w:t>
      </w:r>
      <w:hyperlink w:history="0" r:id="rId31"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2017 - 2023 годов удалось добиться заметных успехов в сфере повышения финансовой грамотности.</w:t>
      </w:r>
    </w:p>
    <w:p>
      <w:pPr>
        <w:pStyle w:val="0"/>
        <w:spacing w:before="200" w:lineRule="auto"/>
        <w:ind w:firstLine="540"/>
        <w:jc w:val="both"/>
      </w:pPr>
      <w:r>
        <w:rPr>
          <w:sz w:val="20"/>
        </w:rPr>
        <w:t xml:space="preserve">Результаты проведенного в 2022 году исследования свидетельствуют о том, что уровень финансовой грамотности граждан страны в целом вырос. Улучшилось понимание россиянами сути таких понятий, как "ссудный процент" (увеличение доли правильных ответов с 68 процентов в 2017 году до 75 процентов в 2022 году) и "инфляция" (увеличение доли правильных ответов с 78 процентов в 2017 году до 81 процента в 2022 году), усилилось осознание ответственности в отношении долгового поведения (увеличение доли правильных ответов с 65 процентов в 2017 году до 69 процентов в 2022 году), повысилась информированность об организациях, защищающих права пользователей финансовых услуг (увеличение доли правильных ответов с 38 процентов в 2017 году до 51 процента в 2022 году).</w:t>
      </w:r>
    </w:p>
    <w:p>
      <w:pPr>
        <w:pStyle w:val="0"/>
        <w:spacing w:before="200" w:lineRule="auto"/>
        <w:ind w:firstLine="540"/>
        <w:jc w:val="both"/>
      </w:pPr>
      <w:r>
        <w:rPr>
          <w:sz w:val="20"/>
        </w:rPr>
        <w:t xml:space="preserve">Финансовое поведение граждан в отдельных аспектах стало более устойчивым и осознанным. Выросли доли опрошенных граждан:</w:t>
      </w:r>
    </w:p>
    <w:p>
      <w:pPr>
        <w:pStyle w:val="0"/>
        <w:spacing w:before="200" w:lineRule="auto"/>
        <w:ind w:firstLine="540"/>
        <w:jc w:val="both"/>
      </w:pPr>
      <w:r>
        <w:rPr>
          <w:sz w:val="20"/>
        </w:rPr>
        <w:t xml:space="preserve">имеющих денежный запас на непредвиденный случай (с 37 процентов в 2017 году до 47 процентов в 2022 году);</w:t>
      </w:r>
    </w:p>
    <w:p>
      <w:pPr>
        <w:pStyle w:val="0"/>
        <w:spacing w:before="200" w:lineRule="auto"/>
        <w:ind w:firstLine="540"/>
        <w:jc w:val="both"/>
      </w:pPr>
      <w:r>
        <w:rPr>
          <w:sz w:val="20"/>
        </w:rPr>
        <w:t xml:space="preserve">самостоятельно принимающих финансовые решения (с 38 процентов в 2017 году до 51 процента в 2022 году);</w:t>
      </w:r>
    </w:p>
    <w:p>
      <w:pPr>
        <w:pStyle w:val="0"/>
        <w:spacing w:before="200" w:lineRule="auto"/>
        <w:ind w:firstLine="540"/>
        <w:jc w:val="both"/>
      </w:pPr>
      <w:r>
        <w:rPr>
          <w:sz w:val="20"/>
        </w:rPr>
        <w:t xml:space="preserve">распределяющих свои доходы так, чтобы их хватало на текущие расходы (с 54 процентов в 2017 году до 62 процентов в 2022 году).</w:t>
      </w:r>
    </w:p>
    <w:p>
      <w:pPr>
        <w:pStyle w:val="0"/>
        <w:spacing w:before="200" w:lineRule="auto"/>
        <w:ind w:firstLine="540"/>
        <w:jc w:val="both"/>
      </w:pPr>
      <w:r>
        <w:rPr>
          <w:sz w:val="20"/>
        </w:rPr>
        <w:t xml:space="preserve">Результаты опросов граждан показывают, что граждане с более высоким уровнем финансовой грамотности имеют более достоверные инфляционные ожидания, а значит, могут более рационально планировать свои финансы.</w:t>
      </w:r>
    </w:p>
    <w:p>
      <w:pPr>
        <w:pStyle w:val="0"/>
        <w:spacing w:before="200" w:lineRule="auto"/>
        <w:ind w:firstLine="540"/>
        <w:jc w:val="both"/>
      </w:pPr>
      <w:r>
        <w:rPr>
          <w:sz w:val="20"/>
        </w:rPr>
        <w:t xml:space="preserve">Положительный эффект от популяризации финансовой грамотности особенно сильно отражается в росте показателей финансовой грамотности молодежи - по итогам исследования молодые люди демонстрируют более рациональное и ответственное финансовое поведение (33 процента осознанно выбирают финансовую услугу по сравнению с 27 процентами взрослых граждан, 55 процентов делают сбережения по сравнению с 45 процентами взрослых граждан), лучше разбираются в цифровых и инвестиционных финансовых инструментах (60 процентов используют двойную аутентификацию при пользовании финансами онлайн по сравнению с 36 процентами взрослых граждан, 23 процента активно инвестируют по сравнению с 11 процентами взрослых граждан). Существенное влияние на это оказало внедрение финансовой грамотности в образовательный процесс.</w:t>
      </w:r>
    </w:p>
    <w:p>
      <w:pPr>
        <w:pStyle w:val="0"/>
        <w:spacing w:before="200" w:lineRule="auto"/>
        <w:ind w:firstLine="540"/>
        <w:jc w:val="both"/>
      </w:pPr>
      <w:r>
        <w:rPr>
          <w:sz w:val="20"/>
        </w:rPr>
        <w:t xml:space="preserve">Вместе с тем достигнутые результаты не в полной мере отвечают целям формирования устойчивых моделей финансового поведения. Значительное количество граждан не строит долгосрочные планы (75 процентов), не формирует сбережения в значимых объемах (53 процента). Необходимы повышение информированности граждан об инструментах финансового рынка и формирование навыков осознанного (рационального) выбора этих инструментов.</w:t>
      </w:r>
    </w:p>
    <w:p>
      <w:pPr>
        <w:pStyle w:val="0"/>
        <w:spacing w:before="200" w:lineRule="auto"/>
        <w:ind w:firstLine="540"/>
        <w:jc w:val="both"/>
      </w:pPr>
      <w:r>
        <w:rPr>
          <w:sz w:val="20"/>
        </w:rPr>
        <w:t xml:space="preserve">Согласно опросу, проведенному в 2022 году при участии автономной некоммерческой организации "Международный учебно-методический центр финансового мониторинга", каждый второй молодой россиянин в возрасте от 14 до 35 лет (53 процента) считает, что ему не хватает знаний об основах финансовой безопасности, чтобы защитить себя от мошенничества и других рисков потери денег, 87 процентов россиян моложе 35 лет заявляют о желании повысить свою грамотность в этой сфере.</w:t>
      </w:r>
    </w:p>
    <w:p>
      <w:pPr>
        <w:pStyle w:val="0"/>
        <w:spacing w:before="200" w:lineRule="auto"/>
        <w:ind w:firstLine="540"/>
        <w:jc w:val="both"/>
      </w:pPr>
      <w:r>
        <w:rPr>
          <w:sz w:val="20"/>
        </w:rPr>
        <w:t xml:space="preserve">Уровень финансовой грамотности заметно различается в разных группах граждан. Люди более молодого возраста, а также граждане с высоким доходом, что часто обусловлено высоким уровнем образования и (или) проживанием в крупном городе, демонстрируют большую финансовую активность и, как следствие, более высокий уровень финансовой грамотности.</w:t>
      </w:r>
    </w:p>
    <w:p>
      <w:pPr>
        <w:pStyle w:val="0"/>
        <w:spacing w:before="200" w:lineRule="auto"/>
        <w:ind w:firstLine="540"/>
        <w:jc w:val="both"/>
      </w:pPr>
      <w:r>
        <w:rPr>
          <w:sz w:val="20"/>
        </w:rPr>
        <w:t xml:space="preserve">Заметно меньшую финансовую компетентность проявляют граждане старшего возраста, граждане с невысоким уровнем доходов, низким уровнем образования и граждане, проживающие в небольших населенных пунктах.</w:t>
      </w:r>
    </w:p>
    <w:p>
      <w:pPr>
        <w:pStyle w:val="0"/>
        <w:spacing w:before="200" w:lineRule="auto"/>
        <w:ind w:firstLine="540"/>
        <w:jc w:val="both"/>
      </w:pPr>
      <w:r>
        <w:rPr>
          <w:sz w:val="20"/>
        </w:rPr>
        <w:t xml:space="preserve">Взрослые граждане, в отличие от молодежи, менее восприимчивы к новой информации. Взрослый гражданин готов изучать новые для себя вопросы в случае возникновения интереса к ним, при необходимости (например, для решения профессиональных или личных практических задач, при существенных изменениях внешней среды) или под влиянием общественного мнения, поведения окружающих людей (эффект социального подражания). Поэтому в рамках реализации Стратегии необходимо повысить заинтересованность взрослых граждан в финансовой грамотности и формировании финансовой культуры.</w:t>
      </w:r>
    </w:p>
    <w:p>
      <w:pPr>
        <w:pStyle w:val="0"/>
        <w:spacing w:before="200" w:lineRule="auto"/>
        <w:ind w:firstLine="540"/>
        <w:jc w:val="both"/>
      </w:pPr>
      <w:r>
        <w:rPr>
          <w:sz w:val="20"/>
        </w:rPr>
        <w:t xml:space="preserve">На современном этапе рост благополучия граждан может обеспечить их более активное осознанное участие в российской экономике, что, в свою очередь, будет фактором ее развития. Финансовая грамотность является необходимым, но не достаточным условием такого участия. Знания и компетенции не всегда автоматически обеспечивают продуктивное финансовое поведение, особенно в ситуации, если они вступают в конфликт с социокультурными установками и ценностями людей - например, низким уровнем доверия, коротким горизонтом планирования, недостаточным самоконтролем и ответственностью.</w:t>
      </w:r>
    </w:p>
    <w:p>
      <w:pPr>
        <w:pStyle w:val="0"/>
        <w:spacing w:before="200" w:lineRule="auto"/>
        <w:ind w:firstLine="540"/>
        <w:jc w:val="both"/>
      </w:pPr>
      <w:r>
        <w:rPr>
          <w:sz w:val="20"/>
        </w:rPr>
        <w:t xml:space="preserve">Необходимо также учитывать, что быстрое развитие цифровых технологий существенно изменило традиционные подходы к оказанию финансовых услуг, повысило требования к финансовой киберграмотности, под которой понимаются основные знания, умения и навыки граждан в области безопасного пользования цифровыми финансовыми технологиями. В настоящее время многие граждане в России могут совершать большинство финансовых операций в онлайн-режиме круглосуточно с помощью мобильных приложений. Развитие подобных решений наряду с плюсами для потребителей финансовых услуг привело также к росту мошеннических действий с использованием цифровых технологий, увеличению количества нелегальных участников финансового рынка и "финансовых пирамид", осуществляющих деятельность посредством информационно-телекоммуникационной сети "Интернет". В этой связи в ближайшие годы приоритет в вопросах финансовой безопасности будут иметь вопросы финансовой кибербезопасности, под которой понимается совокупность методов и практик управления киберрисками, в том числе защиты от атак злоумышленников в отношении цифровых финансовых технологий.</w:t>
      </w:r>
    </w:p>
    <w:p>
      <w:pPr>
        <w:pStyle w:val="0"/>
        <w:spacing w:before="200" w:lineRule="auto"/>
        <w:ind w:firstLine="540"/>
        <w:jc w:val="both"/>
      </w:pPr>
      <w:r>
        <w:rPr>
          <w:sz w:val="20"/>
        </w:rPr>
        <w:t xml:space="preserve">Поэтому в рамках реализации Стратегии ставится задача перехода от финансовой грамотности как набора знаний, умений и навыков к финансовой культуре, которая включает в себя ценности, установки и поведенческие практики, определяет качество использования гражданами финансовой грамотности. Для этого необходимо целенаправленное воздействие на все компоненты финансовой культуры через различные каналы коммуникации и соответствующих субъектов - государство, образовательные организации, финансовые организации, бизнес, креативные индустрии, добровольцев (волонтеров), семью, гражданское общество.</w:t>
      </w:r>
    </w:p>
    <w:p>
      <w:pPr>
        <w:pStyle w:val="0"/>
        <w:spacing w:before="200" w:lineRule="auto"/>
        <w:ind w:firstLine="540"/>
        <w:jc w:val="both"/>
      </w:pPr>
      <w:r>
        <w:rPr>
          <w:sz w:val="20"/>
        </w:rPr>
        <w:t xml:space="preserve">Положительное влияние на уровень финансовой культуры будут оказывать опыт пользования разнообразными финансовыми продуктами и услугами, рост уровня доходов, повышение доступности финансовых услуг и вовлеченности граждан в операции на финансовом рынке. Важную роль в этих процессах будет играть клиентоориентированный и этичный финансовый бизнес, нацеленный на долгосрочные взаимовыгодные отношения с клиентами.</w:t>
      </w:r>
    </w:p>
    <w:p>
      <w:pPr>
        <w:pStyle w:val="0"/>
        <w:spacing w:before="200" w:lineRule="auto"/>
        <w:ind w:firstLine="540"/>
        <w:jc w:val="both"/>
      </w:pPr>
      <w:r>
        <w:rPr>
          <w:sz w:val="20"/>
        </w:rPr>
        <w:t xml:space="preserve">В процессе формирования финансовой культуры необходимо учитывать и факторы, связанные с самой природой человека, когнитивные и эмоциональные механизмы финансового поведения, которые приводят к ошибкам и нерациональным действиям. Поэтому повышение уровня финансовой культуры должно включать в себя не только финансовое просвещение, но и обучение людей общим навыкам принятия решений в условиях неопределенности и с учетом когнитивных искажений.</w:t>
      </w:r>
    </w:p>
    <w:p>
      <w:pPr>
        <w:pStyle w:val="0"/>
        <w:spacing w:before="200" w:lineRule="auto"/>
        <w:ind w:firstLine="540"/>
        <w:jc w:val="both"/>
      </w:pPr>
      <w:r>
        <w:rPr>
          <w:sz w:val="20"/>
        </w:rPr>
        <w:t xml:space="preserve">В начале десятилетия российская экономика и финансовый рынок столкнулись с серьезными вызовами, включая новую коронавирусную инфекцию (COVID-19), геополитическую турбулентность, широкомасштабные санкции со стороны ряда зарубежных государств и связанную с этим "заморозку" иностранных активов частных инвесторов. Эти вызовы потребовали оперативных решений Правительства Российской Федерации и Центрального банка Российской Федерации, принятия новых нормативных правовых актов. Граждане, со своей стороны, также продемонстрировали высокий уровень адаптации к внешним факторам, способность преодолевать кризисные явления, чему способствовала в том числе и последовательно проводившаяся в предыдущие годы работа по повышению финансовой грамотности.</w:t>
      </w:r>
    </w:p>
    <w:p>
      <w:pPr>
        <w:pStyle w:val="0"/>
        <w:spacing w:before="200" w:lineRule="auto"/>
        <w:ind w:firstLine="540"/>
        <w:jc w:val="both"/>
      </w:pPr>
      <w:r>
        <w:rPr>
          <w:sz w:val="20"/>
        </w:rPr>
        <w:t xml:space="preserve">Реализация </w:t>
      </w:r>
      <w:hyperlink w:history="0" r:id="rId32"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2017 - 2023 годов позволила заложить устойчивый фундамент для дальнейшего повышения финансовой грамотности и формирования финансовой культуры граждан. Сформирована система управления программами повышения финансовой грамотности на федеральном и региональном уровнях в их взаимосвязи, внедрены эффективные инструменты продвижения финансовой грамотности в рамках системы образования, создана базовая архитектура работы со взрослыми гражданами через информационно-просветительские мероприятия.</w:t>
      </w:r>
    </w:p>
    <w:p>
      <w:pPr>
        <w:pStyle w:val="0"/>
        <w:spacing w:before="200" w:lineRule="auto"/>
        <w:ind w:firstLine="540"/>
        <w:jc w:val="both"/>
      </w:pPr>
      <w:r>
        <w:rPr>
          <w:sz w:val="20"/>
        </w:rPr>
        <w:t xml:space="preserve">Это позволяет ставить более сложные задачи на горизонт до 2030 года, связанные с формированием финансовой культуры и финансово грамотного поведения.</w:t>
      </w:r>
    </w:p>
    <w:p>
      <w:pPr>
        <w:pStyle w:val="0"/>
        <w:jc w:val="both"/>
      </w:pPr>
      <w:r>
        <w:rPr>
          <w:sz w:val="20"/>
        </w:rPr>
      </w:r>
    </w:p>
    <w:p>
      <w:pPr>
        <w:pStyle w:val="2"/>
        <w:outlineLvl w:val="1"/>
        <w:jc w:val="center"/>
      </w:pPr>
      <w:r>
        <w:rPr>
          <w:sz w:val="20"/>
        </w:rPr>
        <w:t xml:space="preserve">III. Цели и задачи Стратегии</w:t>
      </w:r>
    </w:p>
    <w:p>
      <w:pPr>
        <w:pStyle w:val="0"/>
        <w:jc w:val="both"/>
      </w:pPr>
      <w:r>
        <w:rPr>
          <w:sz w:val="20"/>
        </w:rPr>
      </w:r>
    </w:p>
    <w:p>
      <w:pPr>
        <w:pStyle w:val="0"/>
        <w:ind w:firstLine="540"/>
        <w:jc w:val="both"/>
      </w:pPr>
      <w:r>
        <w:rPr>
          <w:sz w:val="20"/>
        </w:rPr>
        <w:t xml:space="preserve">Целью Стратегии является формирование к 2030 году у большинства граждан Российской Федерации ключевых элементов финансовой культуры (ценностей, установок и поведенческих практик), способствующих финансовому благополучию гражданина, семьи и общества, в том числе через формирование компетенций по финансовой грамотности, расширение практических навыков и опыта принятия финансовых решений, обеспечение надежности функционирования финансовой системы.</w:t>
      </w:r>
    </w:p>
    <w:p>
      <w:pPr>
        <w:pStyle w:val="0"/>
        <w:spacing w:before="200" w:lineRule="auto"/>
        <w:ind w:firstLine="540"/>
        <w:jc w:val="both"/>
      </w:pPr>
      <w:r>
        <w:rPr>
          <w:sz w:val="20"/>
        </w:rPr>
        <w:t xml:space="preserve">Формирование финансовой культуры будет служить интересам граждан, бизнеса и общества в целом, способствовать повышению благосостояния граждан, достижению национальных целей развития Российской Федерации, решению приоритетных задач. Результатами повышения финансовой культуры должны стать увеличение горизонта планирования граждан, их способности осознанно формулировать финансовые и инвестиционные цели и обеспечивать их реализацию, повышение приемлемости осознанного риска при исключении неоправданно рискованного поведения, рост доверия в целом и, в частности, доверия граждан к финансовым институтам.</w:t>
      </w:r>
    </w:p>
    <w:p>
      <w:pPr>
        <w:pStyle w:val="0"/>
        <w:spacing w:before="200" w:lineRule="auto"/>
        <w:ind w:firstLine="540"/>
        <w:jc w:val="both"/>
      </w:pPr>
      <w:r>
        <w:rPr>
          <w:sz w:val="20"/>
        </w:rPr>
        <w:t xml:space="preserve">Эти результаты внесут вклад в повышение реальных доходов и финансового благополучия граждан, увеличение потенциала формирования долгосрочных сбережений и инвестиций в российской экономике, что будет способствовать ее структурной трансформации и более эффективному развитию, снижению рисков для финансовой стабильности.</w:t>
      </w:r>
    </w:p>
    <w:p>
      <w:pPr>
        <w:pStyle w:val="0"/>
        <w:spacing w:before="200" w:lineRule="auto"/>
        <w:ind w:firstLine="540"/>
        <w:jc w:val="both"/>
      </w:pPr>
      <w:r>
        <w:rPr>
          <w:sz w:val="20"/>
        </w:rPr>
        <w:t xml:space="preserve">Повышение доверия граждан, в том числе к финансовым институтам, является комплексной задачей, характеризующей общее состояние финансовой культуры в экономике и обществе, и зависит от множества факторов. Такое повышение основывается на развитии финансового рынка, культуры государственных институтов и финансовых организаций, права и правоприменительной практики, защите интересов граждан и участников финансового рынка. Развитие финансовой грамотности и формирование финансовой культуры должны способствовать повышению доверия при снижении рисков финансовой стабильности и индивидуальных рисков граждан.</w:t>
      </w:r>
    </w:p>
    <w:p>
      <w:pPr>
        <w:pStyle w:val="0"/>
        <w:spacing w:before="200" w:lineRule="auto"/>
        <w:ind w:firstLine="540"/>
        <w:jc w:val="both"/>
      </w:pPr>
      <w:r>
        <w:rPr>
          <w:sz w:val="20"/>
        </w:rPr>
        <w:t xml:space="preserve">В равной мере финансовая грамотность и финансовая культура важны для формирования поведения граждан в сфере общественных финансов. В целях лучшего понимания гражданами важности роли общественных финансов в их жизни и своих возможностей принимать участие в бюджетном процессе необходимо акцентировать внимание в первую очередь на воспитании гражданской ответственности, укреплении доверия граждан к органам государственной власти и органам местного самоуправления, на существующих инструментах участия граждан в бюджетном процессе и общественного контроля за эффективным использованием бюджетных средств.</w:t>
      </w:r>
    </w:p>
    <w:p>
      <w:pPr>
        <w:pStyle w:val="0"/>
        <w:spacing w:before="200" w:lineRule="auto"/>
        <w:ind w:firstLine="540"/>
        <w:jc w:val="both"/>
      </w:pPr>
      <w:r>
        <w:rPr>
          <w:sz w:val="20"/>
        </w:rPr>
        <w:t xml:space="preserve">Повышение финансовой грамотности и формирование финансовой культуры граждан в результате реализации Стратегии будут способствовать в том числе достижению ключевых целей развития российского финансового рынка, определенных </w:t>
      </w:r>
      <w:hyperlink w:history="0" r:id="rId33" w:tooltip="Распоряжение Правительства РФ от 29.12.2022 N 4355-р (ред. от 21.12.2023) &lt;Об утверждении Стратегии развития финансового рынка РФ до 2030 года&gt; {КонсультантПлюс}">
        <w:r>
          <w:rPr>
            <w:sz w:val="20"/>
            <w:color w:val="0000ff"/>
          </w:rPr>
          <w:t xml:space="preserve">Стратегией</w:t>
        </w:r>
      </w:hyperlink>
      <w:r>
        <w:rPr>
          <w:sz w:val="20"/>
        </w:rPr>
        <w:t xml:space="preserve"> развития финансового рынка Российской Федерации до 2030 года, утвержденной распоряжением Правительства Российской Федерации от 29 декабря 2022 г. N 4355-р. Наиболее актуальными вопросами в этой сфере являются:</w:t>
      </w:r>
    </w:p>
    <w:p>
      <w:pPr>
        <w:pStyle w:val="0"/>
        <w:spacing w:before="200" w:lineRule="auto"/>
        <w:ind w:firstLine="540"/>
        <w:jc w:val="both"/>
      </w:pPr>
      <w:r>
        <w:rPr>
          <w:sz w:val="20"/>
        </w:rPr>
        <w:t xml:space="preserve">расширение долгосрочных инвестиций граждан в российскую экономику, в том числе с использованием государственных ценных бумаг Российской Федерации и субъектов Российской Федерации, включая облигации для населения, механизма индивидуальных инвестиционных счетов, вовлечение граждан в долгосрочные сбережения с использованием пассивных инвестиционных стратегий при посредничестве управляющих компаний, негосударственных пенсионных фондов и страховщиков, долгосрочных безотзывных вкладов и сберегательных сертификатов, основанное на понимании возможных рисков;</w:t>
      </w:r>
    </w:p>
    <w:p>
      <w:pPr>
        <w:pStyle w:val="0"/>
        <w:spacing w:before="200" w:lineRule="auto"/>
        <w:ind w:firstLine="540"/>
        <w:jc w:val="both"/>
      </w:pPr>
      <w:r>
        <w:rPr>
          <w:sz w:val="20"/>
        </w:rPr>
        <w:t xml:space="preserve">поддержка формирования достаточного уровня сбережений граждан ("финансовые подушки безопасности"), в том числе для социально незащищенных категорий граждан, а также информирование об инструментах формирования долгосрочных накоплений;</w:t>
      </w:r>
    </w:p>
    <w:p>
      <w:pPr>
        <w:pStyle w:val="0"/>
        <w:spacing w:before="200" w:lineRule="auto"/>
        <w:ind w:firstLine="540"/>
        <w:jc w:val="both"/>
      </w:pPr>
      <w:r>
        <w:rPr>
          <w:sz w:val="20"/>
        </w:rPr>
        <w:t xml:space="preserve">развитие страхования жизни как долгосрочного инструмента защиты имущественных интересов граждан;</w:t>
      </w:r>
    </w:p>
    <w:p>
      <w:pPr>
        <w:pStyle w:val="0"/>
        <w:spacing w:before="200" w:lineRule="auto"/>
        <w:ind w:firstLine="540"/>
        <w:jc w:val="both"/>
      </w:pPr>
      <w:r>
        <w:rPr>
          <w:sz w:val="20"/>
        </w:rPr>
        <w:t xml:space="preserve">повышение доверия граждан к системе добровольного пенсионного страхования и их вовлеченности в программы негосударственного пенсионного обеспечения.</w:t>
      </w:r>
    </w:p>
    <w:p>
      <w:pPr>
        <w:pStyle w:val="0"/>
        <w:spacing w:before="200" w:lineRule="auto"/>
        <w:ind w:firstLine="540"/>
        <w:jc w:val="both"/>
      </w:pPr>
      <w:r>
        <w:rPr>
          <w:sz w:val="20"/>
        </w:rPr>
        <w:t xml:space="preserve">Стратегия направлена на повышение финансовой грамотности и формирование финансовой культуры, рост благосостояния всех граждан страны и ориентирована на учет потребностей и возможностей гражданина на разных стадиях его жизненного цикла. Вместе с тем в ней учитываются интересы отдельных групп граждан, для которых требуются специальные меры и программы по повышению их финансовой грамотности и формированию их финансовой культуры с учетом возможностей и жизненных ситуаций. Стратегия также способствует повышению уровня финансовой безопасности, в том числе финансовой кибербезопасности, граждан Российской Федерации.</w:t>
      </w:r>
    </w:p>
    <w:p>
      <w:pPr>
        <w:pStyle w:val="0"/>
        <w:spacing w:before="200" w:lineRule="auto"/>
        <w:ind w:firstLine="540"/>
        <w:jc w:val="both"/>
      </w:pPr>
      <w:r>
        <w:rPr>
          <w:sz w:val="20"/>
        </w:rPr>
        <w:t xml:space="preserve">Для достижения поставленной цели необходимо решить следующие взаимосвязанные задачи Стратегии:</w:t>
      </w:r>
    </w:p>
    <w:p>
      <w:pPr>
        <w:pStyle w:val="0"/>
        <w:spacing w:before="200" w:lineRule="auto"/>
        <w:ind w:firstLine="540"/>
        <w:jc w:val="both"/>
      </w:pPr>
      <w:r>
        <w:rPr>
          <w:sz w:val="20"/>
        </w:rPr>
        <w:t xml:space="preserve">продвижение ценностей и формирование установок финансовой культуры среди взрослых экономически активных граждан в целях выработки осознанных и рациональных поведенческих практик;</w:t>
      </w:r>
    </w:p>
    <w:p>
      <w:pPr>
        <w:pStyle w:val="0"/>
        <w:spacing w:before="200" w:lineRule="auto"/>
        <w:ind w:firstLine="540"/>
        <w:jc w:val="both"/>
      </w:pPr>
      <w:r>
        <w:rPr>
          <w:sz w:val="20"/>
        </w:rPr>
        <w:t xml:space="preserve">сохранение и развитие накопленного опыта в рамках системы образования по повышению финансовой грамотности детей и молодежи, дополнение образовательных программ элементами финансовой культуры;</w:t>
      </w:r>
    </w:p>
    <w:p>
      <w:pPr>
        <w:pStyle w:val="0"/>
        <w:spacing w:before="200" w:lineRule="auto"/>
        <w:ind w:firstLine="540"/>
        <w:jc w:val="both"/>
      </w:pPr>
      <w:r>
        <w:rPr>
          <w:sz w:val="20"/>
        </w:rPr>
        <w:t xml:space="preserve">использование различных каналов коммуникаций по актуальным вопросам финансовой грамотности и финансовой культуры в целях формирования и закрепления навыков осознанного финансового поведения граждан;</w:t>
      </w:r>
    </w:p>
    <w:p>
      <w:pPr>
        <w:pStyle w:val="0"/>
        <w:spacing w:before="200" w:lineRule="auto"/>
        <w:ind w:firstLine="540"/>
        <w:jc w:val="both"/>
      </w:pPr>
      <w:r>
        <w:rPr>
          <w:sz w:val="20"/>
        </w:rPr>
        <w:t xml:space="preserve">ведение целевой информационно-просветительской деятельности в отношении отдельных групп граждан;</w:t>
      </w:r>
    </w:p>
    <w:p>
      <w:pPr>
        <w:pStyle w:val="0"/>
        <w:spacing w:before="200" w:lineRule="auto"/>
        <w:ind w:firstLine="540"/>
        <w:jc w:val="both"/>
      </w:pPr>
      <w:r>
        <w:rPr>
          <w:sz w:val="20"/>
        </w:rPr>
        <w:t xml:space="preserve">расширение положительного опыта использования гражданами финансовых продуктов и услуг, сопровождаемое экспертизой со стороны государства и гражданского общества качества и потребительской ценности предлагаемых на рынке финансовых продуктов и услуг;</w:t>
      </w:r>
    </w:p>
    <w:p>
      <w:pPr>
        <w:pStyle w:val="0"/>
        <w:spacing w:before="200" w:lineRule="auto"/>
        <w:ind w:firstLine="540"/>
        <w:jc w:val="both"/>
      </w:pPr>
      <w:r>
        <w:rPr>
          <w:sz w:val="20"/>
        </w:rPr>
        <w:t xml:space="preserve">формирование доверительного отношения граждан к финансовому рынку и финансовым институтам;</w:t>
      </w:r>
    </w:p>
    <w:p>
      <w:pPr>
        <w:pStyle w:val="0"/>
        <w:spacing w:before="200" w:lineRule="auto"/>
        <w:ind w:firstLine="540"/>
        <w:jc w:val="both"/>
      </w:pPr>
      <w:r>
        <w:rPr>
          <w:sz w:val="20"/>
        </w:rPr>
        <w:t xml:space="preserve">обеспечение финансовой безопасности, в том числе финансовой кибербезопасности, путем формирования у граждан навыков, установок и поведенческих практик для защиты от возможных рисков в финансовой сфере, эффективного противодействия нелегальной деятельности на финансовом рынке и мошенничеству;</w:t>
      </w:r>
    </w:p>
    <w:p>
      <w:pPr>
        <w:pStyle w:val="0"/>
        <w:spacing w:before="200" w:lineRule="auto"/>
        <w:ind w:firstLine="540"/>
        <w:jc w:val="both"/>
      </w:pPr>
      <w:r>
        <w:rPr>
          <w:sz w:val="20"/>
        </w:rPr>
        <w:t xml:space="preserve">обеспечение подготовки кадров в сфере финансовой грамотности;</w:t>
      </w:r>
    </w:p>
    <w:p>
      <w:pPr>
        <w:pStyle w:val="0"/>
        <w:spacing w:before="200" w:lineRule="auto"/>
        <w:ind w:firstLine="540"/>
        <w:jc w:val="both"/>
      </w:pPr>
      <w:r>
        <w:rPr>
          <w:sz w:val="20"/>
        </w:rPr>
        <w:t xml:space="preserve">обеспечение регулярного мониторинга состояния финансовой грамотности и финансовой культуры в Российской Федерации, в том числе по субъектам Российской Федерации;</w:t>
      </w:r>
    </w:p>
    <w:p>
      <w:pPr>
        <w:pStyle w:val="0"/>
        <w:spacing w:before="200" w:lineRule="auto"/>
        <w:ind w:firstLine="540"/>
        <w:jc w:val="both"/>
      </w:pPr>
      <w:r>
        <w:rPr>
          <w:sz w:val="20"/>
        </w:rPr>
        <w:t xml:space="preserve">обеспечение открытости (прозрачности) бюджетов бюджетной системы Российской Федерации для осуществления контроля за эффективным использованием бюджетных средств в целях воспитания гражданской ответственности и укрепления доверия граждан к органам государственной власти и органам местного самоуправления.</w:t>
      </w:r>
    </w:p>
    <w:p>
      <w:pPr>
        <w:pStyle w:val="0"/>
        <w:jc w:val="both"/>
      </w:pPr>
      <w:r>
        <w:rPr>
          <w:sz w:val="20"/>
        </w:rPr>
      </w:r>
    </w:p>
    <w:p>
      <w:pPr>
        <w:pStyle w:val="2"/>
        <w:outlineLvl w:val="1"/>
        <w:jc w:val="center"/>
      </w:pPr>
      <w:r>
        <w:rPr>
          <w:sz w:val="20"/>
        </w:rPr>
        <w:t xml:space="preserve">IV. Ожидаемые результаты реализации Стратегии, ключевые</w:t>
      </w:r>
    </w:p>
    <w:p>
      <w:pPr>
        <w:pStyle w:val="2"/>
        <w:jc w:val="center"/>
      </w:pPr>
      <w:r>
        <w:rPr>
          <w:sz w:val="20"/>
        </w:rPr>
        <w:t xml:space="preserve">характеристики финансовой грамотности и финансовой культуры</w:t>
      </w:r>
    </w:p>
    <w:p>
      <w:pPr>
        <w:pStyle w:val="0"/>
        <w:jc w:val="both"/>
      </w:pPr>
      <w:r>
        <w:rPr>
          <w:sz w:val="20"/>
        </w:rPr>
      </w:r>
    </w:p>
    <w:p>
      <w:pPr>
        <w:pStyle w:val="0"/>
        <w:ind w:firstLine="540"/>
        <w:jc w:val="both"/>
      </w:pPr>
      <w:r>
        <w:rPr>
          <w:sz w:val="20"/>
        </w:rPr>
        <w:t xml:space="preserve">Основным результатом реализации Стратегии является повышение уровня финансовой грамотности и финансовой культуры, отраженное в следующих характеристиках:</w:t>
      </w:r>
    </w:p>
    <w:p>
      <w:pPr>
        <w:pStyle w:val="0"/>
        <w:spacing w:before="200" w:lineRule="auto"/>
        <w:ind w:firstLine="540"/>
        <w:jc w:val="both"/>
      </w:pPr>
      <w:r>
        <w:rPr>
          <w:sz w:val="20"/>
        </w:rPr>
        <w:t xml:space="preserve">в сфере личных финансов:</w:t>
      </w:r>
    </w:p>
    <w:p>
      <w:pPr>
        <w:pStyle w:val="0"/>
        <w:spacing w:before="200" w:lineRule="auto"/>
        <w:ind w:firstLine="540"/>
        <w:jc w:val="both"/>
      </w:pPr>
      <w:r>
        <w:rPr>
          <w:sz w:val="20"/>
        </w:rPr>
        <w:t xml:space="preserve">планирование финансов, ведение учета личных доходов и расходов, умение ставить перед собой краткосрочные и долгосрочные финансовые цели и выстраивать траекторию достижения этих целей;</w:t>
      </w:r>
    </w:p>
    <w:p>
      <w:pPr>
        <w:pStyle w:val="0"/>
        <w:spacing w:before="200" w:lineRule="auto"/>
        <w:ind w:firstLine="540"/>
        <w:jc w:val="both"/>
      </w:pPr>
      <w:r>
        <w:rPr>
          <w:sz w:val="20"/>
        </w:rPr>
        <w:t xml:space="preserve">установка на рациональное и ответственное потребление во всех сферах жизнедеятельности, умение отказаться от спонтанных трат;</w:t>
      </w:r>
    </w:p>
    <w:p>
      <w:pPr>
        <w:pStyle w:val="0"/>
        <w:spacing w:before="200" w:lineRule="auto"/>
        <w:ind w:firstLine="540"/>
        <w:jc w:val="both"/>
      </w:pPr>
      <w:r>
        <w:rPr>
          <w:sz w:val="20"/>
        </w:rPr>
        <w:t xml:space="preserve">осознанный выбор финансовой организации и умение проверить ее надежность, умение выбрать финансовые продукты, соответствующие жизненной ситуации и целям гражданина;</w:t>
      </w:r>
    </w:p>
    <w:p>
      <w:pPr>
        <w:pStyle w:val="0"/>
        <w:spacing w:before="200" w:lineRule="auto"/>
        <w:ind w:firstLine="540"/>
        <w:jc w:val="both"/>
      </w:pPr>
      <w:r>
        <w:rPr>
          <w:sz w:val="20"/>
        </w:rPr>
        <w:t xml:space="preserve">умение пользоваться платежными инструментами;</w:t>
      </w:r>
    </w:p>
    <w:p>
      <w:pPr>
        <w:pStyle w:val="0"/>
        <w:spacing w:before="200" w:lineRule="auto"/>
        <w:ind w:firstLine="540"/>
        <w:jc w:val="both"/>
      </w:pPr>
      <w:r>
        <w:rPr>
          <w:sz w:val="20"/>
        </w:rPr>
        <w:t xml:space="preserve">ответственное заимствование, умение оценить свои финансовые возможности при принятии решения о получении кредита (займа), дисциплинированное обслуживание кредитов (займов), понимание кредитной истории, индивидуального кредитного рейтинга, условий личного банкротства и его последствий;</w:t>
      </w:r>
    </w:p>
    <w:p>
      <w:pPr>
        <w:pStyle w:val="0"/>
        <w:spacing w:before="200" w:lineRule="auto"/>
        <w:ind w:firstLine="540"/>
        <w:jc w:val="both"/>
      </w:pPr>
      <w:r>
        <w:rPr>
          <w:sz w:val="20"/>
        </w:rPr>
        <w:t xml:space="preserve">наличие установки на формирование сбережений для различных жизненных ситуаций (крупные покупки, непредвиденные трудности, будущая пенсия и др.) и умение реализовать эту установку, формирование и поддержание резервного фонда ("финансовой подушки безопасности") на 3 - 6 месяцев;</w:t>
      </w:r>
    </w:p>
    <w:p>
      <w:pPr>
        <w:pStyle w:val="0"/>
        <w:spacing w:before="200" w:lineRule="auto"/>
        <w:ind w:firstLine="540"/>
        <w:jc w:val="both"/>
      </w:pPr>
      <w:r>
        <w:rPr>
          <w:sz w:val="20"/>
        </w:rPr>
        <w:t xml:space="preserve">понимание сущности инвестирования и адекватное представление об уровне принимаемых рыночных, кредитных, операционных, инфраструктурных, других внешних и внутренних рисков, умение выбирать подходящие инвестиционные продукты с учетом приемлемого уровня риска, установка на диверсификацию и долгосрочность вложений;</w:t>
      </w:r>
    </w:p>
    <w:p>
      <w:pPr>
        <w:pStyle w:val="0"/>
        <w:spacing w:before="200" w:lineRule="auto"/>
        <w:ind w:firstLine="540"/>
        <w:jc w:val="both"/>
      </w:pPr>
      <w:r>
        <w:rPr>
          <w:sz w:val="20"/>
        </w:rPr>
        <w:t xml:space="preserve">умение управлять личными рисками, в том числе путем страхования, осознанный выбор подходящих страховых продуктов;</w:t>
      </w:r>
    </w:p>
    <w:p>
      <w:pPr>
        <w:pStyle w:val="0"/>
        <w:spacing w:before="200" w:lineRule="auto"/>
        <w:ind w:firstLine="540"/>
        <w:jc w:val="both"/>
      </w:pPr>
      <w:r>
        <w:rPr>
          <w:sz w:val="20"/>
        </w:rPr>
        <w:t xml:space="preserve">планирование и регулярное формирование дополнительных накоплений к будущей пенсии;</w:t>
      </w:r>
    </w:p>
    <w:p>
      <w:pPr>
        <w:pStyle w:val="0"/>
        <w:spacing w:before="200" w:lineRule="auto"/>
        <w:ind w:firstLine="540"/>
        <w:jc w:val="both"/>
      </w:pPr>
      <w:r>
        <w:rPr>
          <w:sz w:val="20"/>
        </w:rPr>
        <w:t xml:space="preserve">умение защищать свои права потребителя с помощью правовых инструментов, в том числе в цифровой среде;</w:t>
      </w:r>
    </w:p>
    <w:p>
      <w:pPr>
        <w:pStyle w:val="0"/>
        <w:spacing w:before="200" w:lineRule="auto"/>
        <w:ind w:firstLine="540"/>
        <w:jc w:val="both"/>
      </w:pPr>
      <w:r>
        <w:rPr>
          <w:sz w:val="20"/>
        </w:rPr>
        <w:t xml:space="preserve">понимание сути инфляции, информированность о целевом показателе инфляции и его учет при формировании инфляционных ожиданий, потребительских и сберегательных стратегий;</w:t>
      </w:r>
    </w:p>
    <w:p>
      <w:pPr>
        <w:pStyle w:val="0"/>
        <w:spacing w:before="200" w:lineRule="auto"/>
        <w:ind w:firstLine="540"/>
        <w:jc w:val="both"/>
      </w:pPr>
      <w:r>
        <w:rPr>
          <w:sz w:val="20"/>
        </w:rPr>
        <w:t xml:space="preserve">готовность к приобретению знаний о новых финансовых технологиях и финансовых инструментах (цифровой рубль, партнерское финансирование, цифровые финансовые активы, утилитарные цифровые права, криптоактивы, инвестиционные платформы, финансовые платформы, использование искусственного интеллекта в финансовой сфере и др.) и осознанный подход к их использованию в своей практике;</w:t>
      </w:r>
    </w:p>
    <w:p>
      <w:pPr>
        <w:pStyle w:val="0"/>
        <w:spacing w:before="200" w:lineRule="auto"/>
        <w:ind w:firstLine="540"/>
        <w:jc w:val="both"/>
      </w:pPr>
      <w:r>
        <w:rPr>
          <w:sz w:val="20"/>
        </w:rPr>
        <w:t xml:space="preserve">в сфере общественных финансов:</w:t>
      </w:r>
    </w:p>
    <w:p>
      <w:pPr>
        <w:pStyle w:val="0"/>
        <w:spacing w:before="200" w:lineRule="auto"/>
        <w:ind w:firstLine="540"/>
        <w:jc w:val="both"/>
      </w:pPr>
      <w:r>
        <w:rPr>
          <w:sz w:val="20"/>
        </w:rPr>
        <w:t xml:space="preserve">понимание смысла уплаты налогов как источника доходов государства, благодаря которому оно предоставляет гражданам необходимые им блага;</w:t>
      </w:r>
    </w:p>
    <w:p>
      <w:pPr>
        <w:pStyle w:val="0"/>
        <w:spacing w:before="200" w:lineRule="auto"/>
        <w:ind w:firstLine="540"/>
        <w:jc w:val="both"/>
      </w:pPr>
      <w:r>
        <w:rPr>
          <w:sz w:val="20"/>
        </w:rPr>
        <w:t xml:space="preserve">установка на официальное трудоустройство, понимание взаимосвязи официальной заработной платы и уровня пенсионного обеспечения в будущем;</w:t>
      </w:r>
    </w:p>
    <w:p>
      <w:pPr>
        <w:pStyle w:val="0"/>
        <w:spacing w:before="200" w:lineRule="auto"/>
        <w:ind w:firstLine="540"/>
        <w:jc w:val="both"/>
      </w:pPr>
      <w:r>
        <w:rPr>
          <w:sz w:val="20"/>
        </w:rPr>
        <w:t xml:space="preserve">установка на соблюдение положений законодательства Российской Федерации о налогах и сборах, ориентация на работу с официальной зарплатой, регистрацией в качестве индивидуального предпринимателя или плательщика налога на профессиональный доход;</w:t>
      </w:r>
    </w:p>
    <w:p>
      <w:pPr>
        <w:pStyle w:val="0"/>
        <w:spacing w:before="200" w:lineRule="auto"/>
        <w:ind w:firstLine="540"/>
        <w:jc w:val="both"/>
      </w:pPr>
      <w:r>
        <w:rPr>
          <w:sz w:val="20"/>
        </w:rPr>
        <w:t xml:space="preserve">выбор подходящего налогового режима для бизнеса, использование полагающихся налоговых льгот;</w:t>
      </w:r>
    </w:p>
    <w:p>
      <w:pPr>
        <w:pStyle w:val="0"/>
        <w:spacing w:before="200" w:lineRule="auto"/>
        <w:ind w:firstLine="540"/>
        <w:jc w:val="both"/>
      </w:pPr>
      <w:r>
        <w:rPr>
          <w:sz w:val="20"/>
        </w:rPr>
        <w:t xml:space="preserve">знания о бюджетах бюджетной системы Российской Федерации, о структуре их доходов и направлениях расходов;</w:t>
      </w:r>
    </w:p>
    <w:p>
      <w:pPr>
        <w:pStyle w:val="0"/>
        <w:spacing w:before="200" w:lineRule="auto"/>
        <w:ind w:firstLine="540"/>
        <w:jc w:val="both"/>
      </w:pPr>
      <w:r>
        <w:rPr>
          <w:sz w:val="20"/>
        </w:rPr>
        <w:t xml:space="preserve">установка на участие в проектах инициативного бюджетирования, иных практиках, а также использование других существующих инструментов участия граждан в бюджетном процессе;</w:t>
      </w:r>
    </w:p>
    <w:p>
      <w:pPr>
        <w:pStyle w:val="0"/>
        <w:spacing w:before="200" w:lineRule="auto"/>
        <w:ind w:firstLine="540"/>
        <w:jc w:val="both"/>
      </w:pPr>
      <w:r>
        <w:rPr>
          <w:sz w:val="20"/>
        </w:rPr>
        <w:t xml:space="preserve">использование полагающихся по закону государственных и муниципальных услуг и льгот, социальных выплат;</w:t>
      </w:r>
    </w:p>
    <w:p>
      <w:pPr>
        <w:pStyle w:val="0"/>
        <w:spacing w:before="200" w:lineRule="auto"/>
        <w:ind w:firstLine="540"/>
        <w:jc w:val="both"/>
      </w:pPr>
      <w:r>
        <w:rPr>
          <w:sz w:val="20"/>
        </w:rPr>
        <w:t xml:space="preserve">в сфере финансовой безопасности, в том числе финансовой кибербезопасности:</w:t>
      </w:r>
    </w:p>
    <w:p>
      <w:pPr>
        <w:pStyle w:val="0"/>
        <w:spacing w:before="200" w:lineRule="auto"/>
        <w:ind w:firstLine="540"/>
        <w:jc w:val="both"/>
      </w:pPr>
      <w:r>
        <w:rPr>
          <w:sz w:val="20"/>
        </w:rPr>
        <w:t xml:space="preserve">понимание требований финансовой безопасности как личной ответственности потребителя, соблюдение правил финансовой безопасности при управлении личными финансами;</w:t>
      </w:r>
    </w:p>
    <w:p>
      <w:pPr>
        <w:pStyle w:val="0"/>
        <w:spacing w:before="200" w:lineRule="auto"/>
        <w:ind w:firstLine="540"/>
        <w:jc w:val="both"/>
      </w:pPr>
      <w:r>
        <w:rPr>
          <w:sz w:val="20"/>
        </w:rPr>
        <w:t xml:space="preserve">знание и умение безопасно пользоваться цифровыми финансовыми технологиями;</w:t>
      </w:r>
    </w:p>
    <w:p>
      <w:pPr>
        <w:pStyle w:val="0"/>
        <w:spacing w:before="200" w:lineRule="auto"/>
        <w:ind w:firstLine="540"/>
        <w:jc w:val="both"/>
      </w:pPr>
      <w:r>
        <w:rPr>
          <w:sz w:val="20"/>
        </w:rPr>
        <w:t xml:space="preserve">умение распознавать нелегальных участников финансового рынка и "финансовые пирамиды", распознавать и противостоять угрозе мошенничества, в том числе связанного с использованием социальной инженерии;</w:t>
      </w:r>
    </w:p>
    <w:p>
      <w:pPr>
        <w:pStyle w:val="0"/>
        <w:spacing w:before="200" w:lineRule="auto"/>
        <w:ind w:firstLine="540"/>
        <w:jc w:val="both"/>
      </w:pPr>
      <w:r>
        <w:rPr>
          <w:sz w:val="20"/>
        </w:rPr>
        <w:t xml:space="preserve">умение осмотрительно относиться к размещению в информационно-телекоммуникационной сети "Интернет" личных данных, в том числе финансовых, сокращать свой "цифровой след";</w:t>
      </w:r>
    </w:p>
    <w:p>
      <w:pPr>
        <w:pStyle w:val="0"/>
        <w:spacing w:before="200" w:lineRule="auto"/>
        <w:ind w:firstLine="540"/>
        <w:jc w:val="both"/>
      </w:pPr>
      <w:r>
        <w:rPr>
          <w:sz w:val="20"/>
        </w:rPr>
        <w:t xml:space="preserve">установка на взаимодействие с финансовыми организациями и правоохранительными органами в случае обнаружения мошеннических действий.</w:t>
      </w:r>
    </w:p>
    <w:p>
      <w:pPr>
        <w:pStyle w:val="0"/>
        <w:spacing w:before="200" w:lineRule="auto"/>
        <w:ind w:firstLine="540"/>
        <w:jc w:val="both"/>
      </w:pPr>
      <w:r>
        <w:rPr>
          <w:sz w:val="20"/>
        </w:rPr>
        <w:t xml:space="preserve">При этом работа в рамках реализации Стратегии должна учитывать характеристики финансовой грамотности и финансовой культуры на отдельных стадиях жизненного цикла гражданина, быть сконцентрированной на актуальных вопросах для детей и подростков, молодых граждан, взрослых экономически активных граждан и граждан старшего возраста;</w:t>
      </w:r>
    </w:p>
    <w:p>
      <w:pPr>
        <w:pStyle w:val="0"/>
        <w:spacing w:before="200" w:lineRule="auto"/>
        <w:ind w:firstLine="540"/>
        <w:jc w:val="both"/>
      </w:pPr>
      <w:r>
        <w:rPr>
          <w:sz w:val="20"/>
        </w:rPr>
        <w:t xml:space="preserve">в отношении детей и подростков - освоение базовых основ финансовой грамотности и финансовой культуры через образование, воспитание и опыт:</w:t>
      </w:r>
    </w:p>
    <w:p>
      <w:pPr>
        <w:pStyle w:val="0"/>
        <w:spacing w:before="200" w:lineRule="auto"/>
        <w:ind w:firstLine="540"/>
        <w:jc w:val="both"/>
      </w:pPr>
      <w:r>
        <w:rPr>
          <w:sz w:val="20"/>
        </w:rPr>
        <w:t xml:space="preserve">базовое понимание того, что такое деньги, как их можно заработать и как их правильно тратить, как планировать личный бюджет, ставить и достигать финансовые цели;</w:t>
      </w:r>
    </w:p>
    <w:p>
      <w:pPr>
        <w:pStyle w:val="0"/>
        <w:spacing w:before="200" w:lineRule="auto"/>
        <w:ind w:firstLine="540"/>
        <w:jc w:val="both"/>
      </w:pPr>
      <w:r>
        <w:rPr>
          <w:sz w:val="20"/>
        </w:rPr>
        <w:t xml:space="preserve">получение первого опыта откладывания денег на самостоятельные покупки;</w:t>
      </w:r>
    </w:p>
    <w:p>
      <w:pPr>
        <w:pStyle w:val="0"/>
        <w:spacing w:before="200" w:lineRule="auto"/>
        <w:ind w:firstLine="540"/>
        <w:jc w:val="both"/>
      </w:pPr>
      <w:r>
        <w:rPr>
          <w:sz w:val="20"/>
        </w:rPr>
        <w:t xml:space="preserve">получение базовых представлений об основах безопасного пользования цифровыми финансовыми технологиями;</w:t>
      </w:r>
    </w:p>
    <w:p>
      <w:pPr>
        <w:pStyle w:val="0"/>
        <w:spacing w:before="200" w:lineRule="auto"/>
        <w:ind w:firstLine="540"/>
        <w:jc w:val="both"/>
      </w:pPr>
      <w:r>
        <w:rPr>
          <w:sz w:val="20"/>
        </w:rPr>
        <w:t xml:space="preserve">обучение базовым навыкам математических расчетов и критического мышления, необходимых для действий в финансовой сфере;</w:t>
      </w:r>
    </w:p>
    <w:p>
      <w:pPr>
        <w:pStyle w:val="0"/>
        <w:spacing w:before="200" w:lineRule="auto"/>
        <w:ind w:firstLine="540"/>
        <w:jc w:val="both"/>
      </w:pPr>
      <w:r>
        <w:rPr>
          <w:sz w:val="20"/>
        </w:rPr>
        <w:t xml:space="preserve">получение базовых представлений о том, как устроен финансовый рынок, какие на нем существуют организации и финансовые продукты, получение первого опыта использования доступных финансовых продуктов;</w:t>
      </w:r>
    </w:p>
    <w:p>
      <w:pPr>
        <w:pStyle w:val="0"/>
        <w:spacing w:before="200" w:lineRule="auto"/>
        <w:ind w:firstLine="540"/>
        <w:jc w:val="both"/>
      </w:pPr>
      <w:r>
        <w:rPr>
          <w:sz w:val="20"/>
        </w:rPr>
        <w:t xml:space="preserve">получение базовых представлений о том, как устроены бюджеты бюджетной системы Российской Федерации, получение первого опыта работы с информацией в формате "Бюджет для граждан";</w:t>
      </w:r>
    </w:p>
    <w:p>
      <w:pPr>
        <w:pStyle w:val="0"/>
        <w:spacing w:before="200" w:lineRule="auto"/>
        <w:ind w:firstLine="540"/>
        <w:jc w:val="both"/>
      </w:pPr>
      <w:r>
        <w:rPr>
          <w:sz w:val="20"/>
        </w:rPr>
        <w:t xml:space="preserve">выработка установки на участие в практиках школьного инициативного бюджетирования, иных практиках;</w:t>
      </w:r>
    </w:p>
    <w:p>
      <w:pPr>
        <w:pStyle w:val="0"/>
        <w:spacing w:before="200" w:lineRule="auto"/>
        <w:ind w:firstLine="540"/>
        <w:jc w:val="both"/>
      </w:pPr>
      <w:r>
        <w:rPr>
          <w:sz w:val="20"/>
        </w:rPr>
        <w:t xml:space="preserve">получение базовых представлений о том, какие риски существуют в сфере финансов и как с ними справляться;</w:t>
      </w:r>
    </w:p>
    <w:p>
      <w:pPr>
        <w:pStyle w:val="0"/>
        <w:spacing w:before="200" w:lineRule="auto"/>
        <w:ind w:firstLine="540"/>
        <w:jc w:val="both"/>
      </w:pPr>
      <w:r>
        <w:rPr>
          <w:sz w:val="20"/>
        </w:rPr>
        <w:t xml:space="preserve">в отношении молодых граждан - владение навыками и установками для удовлетворения текущих потребностей и формирование основы для удовлетворения будущих потребностей:</w:t>
      </w:r>
    </w:p>
    <w:p>
      <w:pPr>
        <w:pStyle w:val="0"/>
        <w:spacing w:before="200" w:lineRule="auto"/>
        <w:ind w:firstLine="540"/>
        <w:jc w:val="both"/>
      </w:pPr>
      <w:r>
        <w:rPr>
          <w:sz w:val="20"/>
        </w:rPr>
        <w:t xml:space="preserve">умение рационально распоряжаться деньгами, освоение навыков финансового планирования;</w:t>
      </w:r>
    </w:p>
    <w:p>
      <w:pPr>
        <w:pStyle w:val="0"/>
        <w:spacing w:before="200" w:lineRule="auto"/>
        <w:ind w:firstLine="540"/>
        <w:jc w:val="both"/>
      </w:pPr>
      <w:r>
        <w:rPr>
          <w:sz w:val="20"/>
        </w:rPr>
        <w:t xml:space="preserve">умение выбирать и использовать подходящие кредитные продукты, в том числе ипотеку (с учетом недостаточности собственных доходов на покрытие всех потребностей на этой стадии жизненного цикла);</w:t>
      </w:r>
    </w:p>
    <w:p>
      <w:pPr>
        <w:pStyle w:val="0"/>
        <w:spacing w:before="200" w:lineRule="auto"/>
        <w:ind w:firstLine="540"/>
        <w:jc w:val="both"/>
      </w:pPr>
      <w:r>
        <w:rPr>
          <w:sz w:val="20"/>
        </w:rPr>
        <w:t xml:space="preserve">осознание необходимости начинать формировать сбережения и инвестировать свободные средства как можно раньше, в том числе для формирования стабильных доходов в будущем;</w:t>
      </w:r>
    </w:p>
    <w:p>
      <w:pPr>
        <w:pStyle w:val="0"/>
        <w:spacing w:before="200" w:lineRule="auto"/>
        <w:ind w:firstLine="540"/>
        <w:jc w:val="both"/>
      </w:pPr>
      <w:r>
        <w:rPr>
          <w:sz w:val="20"/>
        </w:rPr>
        <w:t xml:space="preserve">выработка установки на добросовестное отношение к налогам;</w:t>
      </w:r>
    </w:p>
    <w:p>
      <w:pPr>
        <w:pStyle w:val="0"/>
        <w:spacing w:before="200" w:lineRule="auto"/>
        <w:ind w:firstLine="540"/>
        <w:jc w:val="both"/>
      </w:pPr>
      <w:r>
        <w:rPr>
          <w:sz w:val="20"/>
        </w:rPr>
        <w:t xml:space="preserve">осознание того, что участие в практиках инициативного бюджетирования, иных практиках является инструментом формирования комфортной среды, а также фактором развития территории;</w:t>
      </w:r>
    </w:p>
    <w:p>
      <w:pPr>
        <w:pStyle w:val="0"/>
        <w:spacing w:before="200" w:lineRule="auto"/>
        <w:ind w:firstLine="540"/>
        <w:jc w:val="both"/>
      </w:pPr>
      <w:r>
        <w:rPr>
          <w:sz w:val="20"/>
        </w:rPr>
        <w:t xml:space="preserve">в отношении взрослых экономически активных граждан - обеспечение финансовой устойчивости и благополучия на протяжении всего жизненного цикла:</w:t>
      </w:r>
    </w:p>
    <w:p>
      <w:pPr>
        <w:pStyle w:val="0"/>
        <w:spacing w:before="200" w:lineRule="auto"/>
        <w:ind w:firstLine="540"/>
        <w:jc w:val="both"/>
      </w:pPr>
      <w:r>
        <w:rPr>
          <w:sz w:val="20"/>
        </w:rPr>
        <w:t xml:space="preserve">умение ставить и достигать долгосрочные финансовые цели;</w:t>
      </w:r>
    </w:p>
    <w:p>
      <w:pPr>
        <w:pStyle w:val="0"/>
        <w:spacing w:before="200" w:lineRule="auto"/>
        <w:ind w:firstLine="540"/>
        <w:jc w:val="both"/>
      </w:pPr>
      <w:r>
        <w:rPr>
          <w:sz w:val="20"/>
        </w:rPr>
        <w:t xml:space="preserve">умение жить по средствам и не допускать дефицита личного бюджета;</w:t>
      </w:r>
    </w:p>
    <w:p>
      <w:pPr>
        <w:pStyle w:val="0"/>
        <w:spacing w:before="200" w:lineRule="auto"/>
        <w:ind w:firstLine="540"/>
        <w:jc w:val="both"/>
      </w:pPr>
      <w:r>
        <w:rPr>
          <w:sz w:val="20"/>
        </w:rPr>
        <w:t xml:space="preserve">рациональное использование кредитных продуктов;</w:t>
      </w:r>
    </w:p>
    <w:p>
      <w:pPr>
        <w:pStyle w:val="0"/>
        <w:spacing w:before="200" w:lineRule="auto"/>
        <w:ind w:firstLine="540"/>
        <w:jc w:val="both"/>
      </w:pPr>
      <w:r>
        <w:rPr>
          <w:sz w:val="20"/>
        </w:rPr>
        <w:t xml:space="preserve">инвестирование существенной части свободных денежных средств, формирование пенсионных накоплений;</w:t>
      </w:r>
    </w:p>
    <w:p>
      <w:pPr>
        <w:pStyle w:val="0"/>
        <w:spacing w:before="200" w:lineRule="auto"/>
        <w:ind w:firstLine="540"/>
        <w:jc w:val="both"/>
      </w:pPr>
      <w:r>
        <w:rPr>
          <w:sz w:val="20"/>
        </w:rPr>
        <w:t xml:space="preserve">понимание разнообразных финансовых рисков и обеспечение защиты от них;</w:t>
      </w:r>
    </w:p>
    <w:p>
      <w:pPr>
        <w:pStyle w:val="0"/>
        <w:spacing w:before="200" w:lineRule="auto"/>
        <w:ind w:firstLine="540"/>
        <w:jc w:val="both"/>
      </w:pPr>
      <w:r>
        <w:rPr>
          <w:sz w:val="20"/>
        </w:rPr>
        <w:t xml:space="preserve">участие в публичных слушаниях и (или) общественных обсуждениях проектов бюджетов субъектов Российской Федерации и местных бюджетов и годовых отчетов об их исполнении, создание благоприятных условий жизни посредством участия в практиках инициативного бюджетирования, иных практиках;</w:t>
      </w:r>
    </w:p>
    <w:p>
      <w:pPr>
        <w:pStyle w:val="0"/>
        <w:spacing w:before="200" w:lineRule="auto"/>
        <w:ind w:firstLine="540"/>
        <w:jc w:val="both"/>
      </w:pPr>
      <w:r>
        <w:rPr>
          <w:sz w:val="20"/>
        </w:rPr>
        <w:t xml:space="preserve">забота о финансовом благополучии близких;</w:t>
      </w:r>
    </w:p>
    <w:p>
      <w:pPr>
        <w:pStyle w:val="0"/>
        <w:spacing w:before="200" w:lineRule="auto"/>
        <w:ind w:firstLine="540"/>
        <w:jc w:val="both"/>
      </w:pPr>
      <w:r>
        <w:rPr>
          <w:sz w:val="20"/>
        </w:rPr>
        <w:t xml:space="preserve">в отношении граждан старшего возраста - обеспечение комфортного уровня жизни, защита от рисков и мошенничества:</w:t>
      </w:r>
    </w:p>
    <w:p>
      <w:pPr>
        <w:pStyle w:val="0"/>
        <w:spacing w:before="200" w:lineRule="auto"/>
        <w:ind w:firstLine="540"/>
        <w:jc w:val="both"/>
      </w:pPr>
      <w:r>
        <w:rPr>
          <w:sz w:val="20"/>
        </w:rPr>
        <w:t xml:space="preserve">умение рационально использовать имеющиеся накопления;</w:t>
      </w:r>
    </w:p>
    <w:p>
      <w:pPr>
        <w:pStyle w:val="0"/>
        <w:spacing w:before="200" w:lineRule="auto"/>
        <w:ind w:firstLine="540"/>
        <w:jc w:val="both"/>
      </w:pPr>
      <w:r>
        <w:rPr>
          <w:sz w:val="20"/>
        </w:rPr>
        <w:t xml:space="preserve">умение отказываться от чрезмерно рискованных инвестиционных и кредитных продуктов;</w:t>
      </w:r>
    </w:p>
    <w:p>
      <w:pPr>
        <w:pStyle w:val="0"/>
        <w:spacing w:before="200" w:lineRule="auto"/>
        <w:ind w:firstLine="540"/>
        <w:jc w:val="both"/>
      </w:pPr>
      <w:r>
        <w:rPr>
          <w:sz w:val="20"/>
        </w:rPr>
        <w:t xml:space="preserve">готовность получать новые знания и навыки управления личными финансами, в том числе с применением цифровых финансовых технологий;</w:t>
      </w:r>
    </w:p>
    <w:p>
      <w:pPr>
        <w:pStyle w:val="0"/>
        <w:spacing w:before="200" w:lineRule="auto"/>
        <w:ind w:firstLine="540"/>
        <w:jc w:val="both"/>
      </w:pPr>
      <w:r>
        <w:rPr>
          <w:sz w:val="20"/>
        </w:rPr>
        <w:t xml:space="preserve">знание и использование налоговых льгот, социальных выплат, государственных и муниципальных услуг, полагающихся гражданам старшего возраста;</w:t>
      </w:r>
    </w:p>
    <w:p>
      <w:pPr>
        <w:pStyle w:val="0"/>
        <w:spacing w:before="200" w:lineRule="auto"/>
        <w:ind w:firstLine="540"/>
        <w:jc w:val="both"/>
      </w:pPr>
      <w:r>
        <w:rPr>
          <w:sz w:val="20"/>
        </w:rPr>
        <w:t xml:space="preserve">участие в бюджетном процессе, в том числе посредством практик инициативного бюджетирования, иных практик, в том числе в целях решения актуальных проблем граждан и создания благоприятных условий жизни для следующих поколений;</w:t>
      </w:r>
    </w:p>
    <w:p>
      <w:pPr>
        <w:pStyle w:val="0"/>
        <w:spacing w:before="200" w:lineRule="auto"/>
        <w:ind w:firstLine="540"/>
        <w:jc w:val="both"/>
      </w:pPr>
      <w:r>
        <w:rPr>
          <w:sz w:val="20"/>
        </w:rPr>
        <w:t xml:space="preserve">умение распознавать и противостоять мошенничеству, установка на необходимость советоваться с родственниками или другими людьми, заслуживающими доверия, в вызывающих опасения ситуациях.</w:t>
      </w:r>
    </w:p>
    <w:p>
      <w:pPr>
        <w:pStyle w:val="0"/>
        <w:jc w:val="both"/>
      </w:pPr>
      <w:r>
        <w:rPr>
          <w:sz w:val="20"/>
        </w:rPr>
      </w:r>
    </w:p>
    <w:p>
      <w:pPr>
        <w:pStyle w:val="2"/>
        <w:outlineLvl w:val="1"/>
        <w:jc w:val="center"/>
      </w:pPr>
      <w:r>
        <w:rPr>
          <w:sz w:val="20"/>
        </w:rPr>
        <w:t xml:space="preserve">V. Основные направления реализации Стратегии</w:t>
      </w:r>
    </w:p>
    <w:p>
      <w:pPr>
        <w:pStyle w:val="0"/>
        <w:jc w:val="both"/>
      </w:pPr>
      <w:r>
        <w:rPr>
          <w:sz w:val="20"/>
        </w:rPr>
      </w:r>
    </w:p>
    <w:p>
      <w:pPr>
        <w:pStyle w:val="0"/>
        <w:ind w:firstLine="540"/>
        <w:jc w:val="both"/>
      </w:pPr>
      <w:r>
        <w:rPr>
          <w:sz w:val="20"/>
        </w:rPr>
        <w:t xml:space="preserve">Основными направлениями реализации Стратегии являются:</w:t>
      </w:r>
    </w:p>
    <w:p>
      <w:pPr>
        <w:pStyle w:val="0"/>
        <w:spacing w:before="200" w:lineRule="auto"/>
        <w:ind w:firstLine="540"/>
        <w:jc w:val="both"/>
      </w:pPr>
      <w:r>
        <w:rPr>
          <w:sz w:val="20"/>
        </w:rPr>
        <w:t xml:space="preserve">информационно-просветительская деятельность;</w:t>
      </w:r>
    </w:p>
    <w:p>
      <w:pPr>
        <w:pStyle w:val="0"/>
        <w:spacing w:before="200" w:lineRule="auto"/>
        <w:ind w:firstLine="540"/>
        <w:jc w:val="both"/>
      </w:pPr>
      <w:r>
        <w:rPr>
          <w:sz w:val="20"/>
        </w:rPr>
        <w:t xml:space="preserve">образовательная деятельность;</w:t>
      </w:r>
    </w:p>
    <w:p>
      <w:pPr>
        <w:pStyle w:val="0"/>
        <w:spacing w:before="200" w:lineRule="auto"/>
        <w:ind w:firstLine="540"/>
        <w:jc w:val="both"/>
      </w:pPr>
      <w:r>
        <w:rPr>
          <w:sz w:val="20"/>
        </w:rPr>
        <w:t xml:space="preserve">подготовка кадров в сфере финансовой грамотности;</w:t>
      </w:r>
    </w:p>
    <w:p>
      <w:pPr>
        <w:pStyle w:val="0"/>
        <w:spacing w:before="200" w:lineRule="auto"/>
        <w:ind w:firstLine="540"/>
        <w:jc w:val="both"/>
      </w:pPr>
      <w:r>
        <w:rPr>
          <w:sz w:val="20"/>
        </w:rPr>
        <w:t xml:space="preserve">взаимодействие с финансовыми организациями;</w:t>
      </w:r>
    </w:p>
    <w:p>
      <w:pPr>
        <w:pStyle w:val="0"/>
        <w:spacing w:before="200" w:lineRule="auto"/>
        <w:ind w:firstLine="540"/>
        <w:jc w:val="both"/>
      </w:pPr>
      <w:r>
        <w:rPr>
          <w:sz w:val="20"/>
        </w:rPr>
        <w:t xml:space="preserve">взаимодействие с бизнесом;</w:t>
      </w:r>
    </w:p>
    <w:p>
      <w:pPr>
        <w:pStyle w:val="0"/>
        <w:spacing w:before="200" w:lineRule="auto"/>
        <w:ind w:firstLine="540"/>
        <w:jc w:val="both"/>
      </w:pPr>
      <w:r>
        <w:rPr>
          <w:sz w:val="20"/>
        </w:rPr>
        <w:t xml:space="preserve">взаимодействие с гражданским обществом и некоммерческими организациями;</w:t>
      </w:r>
    </w:p>
    <w:p>
      <w:pPr>
        <w:pStyle w:val="0"/>
        <w:spacing w:before="200" w:lineRule="auto"/>
        <w:ind w:firstLine="540"/>
        <w:jc w:val="both"/>
      </w:pPr>
      <w:r>
        <w:rPr>
          <w:sz w:val="20"/>
        </w:rPr>
        <w:t xml:space="preserve">развитие международного сотрудничества;</w:t>
      </w:r>
    </w:p>
    <w:p>
      <w:pPr>
        <w:pStyle w:val="0"/>
        <w:spacing w:before="200" w:lineRule="auto"/>
        <w:ind w:firstLine="540"/>
        <w:jc w:val="both"/>
      </w:pPr>
      <w:r>
        <w:rPr>
          <w:sz w:val="20"/>
        </w:rPr>
        <w:t xml:space="preserve">развитие практик инициативного бюджетирования, иных практик, а также обеспечение открытости бюджетной информации.</w:t>
      </w:r>
    </w:p>
    <w:p>
      <w:pPr>
        <w:pStyle w:val="0"/>
        <w:jc w:val="both"/>
      </w:pPr>
      <w:r>
        <w:rPr>
          <w:sz w:val="20"/>
        </w:rPr>
      </w:r>
    </w:p>
    <w:p>
      <w:pPr>
        <w:pStyle w:val="2"/>
        <w:outlineLvl w:val="2"/>
        <w:jc w:val="center"/>
      </w:pPr>
      <w:r>
        <w:rPr>
          <w:sz w:val="20"/>
        </w:rPr>
        <w:t xml:space="preserve">1. Информационно-просветительская деятельность</w:t>
      </w:r>
    </w:p>
    <w:p>
      <w:pPr>
        <w:pStyle w:val="0"/>
        <w:jc w:val="both"/>
      </w:pPr>
      <w:r>
        <w:rPr>
          <w:sz w:val="20"/>
        </w:rPr>
      </w:r>
    </w:p>
    <w:p>
      <w:pPr>
        <w:pStyle w:val="0"/>
        <w:ind w:firstLine="540"/>
        <w:jc w:val="both"/>
      </w:pPr>
      <w:r>
        <w:rPr>
          <w:sz w:val="20"/>
        </w:rPr>
        <w:t xml:space="preserve">Целью информационно-просветительской деятельности являются популяризация финансовой грамотности и финансовой культуры, содействие закреплению знаний и навыков осознанного финансового поведения, продвижение ценностей и установок финансовой культуры в целях выработки разумных поведенческих практик.</w:t>
      </w:r>
    </w:p>
    <w:p>
      <w:pPr>
        <w:pStyle w:val="0"/>
        <w:spacing w:before="200" w:lineRule="auto"/>
        <w:ind w:firstLine="540"/>
        <w:jc w:val="both"/>
      </w:pPr>
      <w:r>
        <w:rPr>
          <w:sz w:val="20"/>
        </w:rPr>
        <w:t xml:space="preserve">В задачи информационно-просветительской деятельности в области повышения финансовой грамотности и формирования финансовой культуры входят:</w:t>
      </w:r>
    </w:p>
    <w:p>
      <w:pPr>
        <w:pStyle w:val="0"/>
        <w:spacing w:before="200" w:lineRule="auto"/>
        <w:ind w:firstLine="540"/>
        <w:jc w:val="both"/>
      </w:pPr>
      <w:r>
        <w:rPr>
          <w:sz w:val="20"/>
        </w:rPr>
        <w:t xml:space="preserve">формирование общественного интереса к различным аспектам повышения финансовой грамотности и формирования финансовой культуры граждан через социальную рекламу и другие каналы информирования, включая продукцию креативных индустрий;</w:t>
      </w:r>
    </w:p>
    <w:p>
      <w:pPr>
        <w:pStyle w:val="0"/>
        <w:spacing w:before="200" w:lineRule="auto"/>
        <w:ind w:firstLine="540"/>
        <w:jc w:val="both"/>
      </w:pPr>
      <w:r>
        <w:rPr>
          <w:sz w:val="20"/>
        </w:rPr>
        <w:t xml:space="preserve">продвижение ценностей и установок, обеспечивающих финансовое благополучие граждан и финансовую безопасность, в том числе ответственное заимствование, культуру сбережений и инвестирования денежных средств, повышение доверия к финансовому рынку и осведомленности о возможности вложения денежных средств в российскую экономику, контроль за персональными рисками и их страхование, отказ от нелегальных или непонятных финансовых продуктов;</w:t>
      </w:r>
    </w:p>
    <w:p>
      <w:pPr>
        <w:pStyle w:val="0"/>
        <w:spacing w:before="200" w:lineRule="auto"/>
        <w:ind w:firstLine="540"/>
        <w:jc w:val="both"/>
      </w:pPr>
      <w:r>
        <w:rPr>
          <w:sz w:val="20"/>
        </w:rPr>
        <w:t xml:space="preserve">продвижение знаний, умений и навыков безопасного пользования цифровыми финансовыми технологиями, обеспечивающих финансовую кибербезопасность граждан и бизнеса;</w:t>
      </w:r>
    </w:p>
    <w:p>
      <w:pPr>
        <w:pStyle w:val="0"/>
        <w:spacing w:before="200" w:lineRule="auto"/>
        <w:ind w:firstLine="540"/>
        <w:jc w:val="both"/>
      </w:pPr>
      <w:r>
        <w:rPr>
          <w:sz w:val="20"/>
        </w:rPr>
        <w:t xml:space="preserve">взаимодействие участников реализации Стратегии с различными аудиториями, включающими социально уязвимые группы граждан, с учетом их потребностей;</w:t>
      </w:r>
    </w:p>
    <w:p>
      <w:pPr>
        <w:pStyle w:val="0"/>
        <w:spacing w:before="200" w:lineRule="auto"/>
        <w:ind w:firstLine="540"/>
        <w:jc w:val="both"/>
      </w:pPr>
      <w:r>
        <w:rPr>
          <w:sz w:val="20"/>
        </w:rPr>
        <w:t xml:space="preserve">координация и взаимодействие между участниками реализации Стратегии, способствующие созданию информационно-просветительского контента, для повышения доверия потребителей к соответствующей информации;</w:t>
      </w:r>
    </w:p>
    <w:p>
      <w:pPr>
        <w:pStyle w:val="0"/>
        <w:spacing w:before="200" w:lineRule="auto"/>
        <w:ind w:firstLine="540"/>
        <w:jc w:val="both"/>
      </w:pPr>
      <w:r>
        <w:rPr>
          <w:sz w:val="20"/>
        </w:rPr>
        <w:t xml:space="preserve">развитие эффективных каналов коммуникаций с учетом актуальных форматов и медиаресурсов (специализированные информационные ресурсы, официальные сайты участников Стратегии в информационно-телекоммуникационной сети "Интернет", социальные сети, мессенджеры и др.), распространение информационно-просветительского контента через различные каналы в форматах, удобных разным целевым аудиториям;</w:t>
      </w:r>
    </w:p>
    <w:p>
      <w:pPr>
        <w:pStyle w:val="0"/>
        <w:spacing w:before="200" w:lineRule="auto"/>
        <w:ind w:firstLine="540"/>
        <w:jc w:val="both"/>
      </w:pPr>
      <w:r>
        <w:rPr>
          <w:sz w:val="20"/>
        </w:rPr>
        <w:t xml:space="preserve">обеспечение информирования о важности роли общественных финансов в жизни граждан, о доступных мерах социальной поддержки, а также о взаимосвязи официальной заработной платы и будущего уровня пенсионного обеспечения.</w:t>
      </w:r>
    </w:p>
    <w:p>
      <w:pPr>
        <w:pStyle w:val="0"/>
        <w:jc w:val="both"/>
      </w:pPr>
      <w:r>
        <w:rPr>
          <w:sz w:val="20"/>
        </w:rPr>
      </w:r>
    </w:p>
    <w:p>
      <w:pPr>
        <w:pStyle w:val="2"/>
        <w:outlineLvl w:val="2"/>
        <w:jc w:val="center"/>
      </w:pPr>
      <w:r>
        <w:rPr>
          <w:sz w:val="20"/>
        </w:rPr>
        <w:t xml:space="preserve">2. Образовательная деятельность</w:t>
      </w:r>
    </w:p>
    <w:p>
      <w:pPr>
        <w:pStyle w:val="0"/>
        <w:jc w:val="both"/>
      </w:pPr>
      <w:r>
        <w:rPr>
          <w:sz w:val="20"/>
        </w:rPr>
      </w:r>
    </w:p>
    <w:p>
      <w:pPr>
        <w:pStyle w:val="0"/>
        <w:ind w:firstLine="540"/>
        <w:jc w:val="both"/>
      </w:pPr>
      <w:r>
        <w:rPr>
          <w:sz w:val="20"/>
        </w:rPr>
        <w:t xml:space="preserve">Целью образовательной деятельности являются распространение и систематизация знаний по финансовой грамотности и создание предпосылок для формирования финансовой культуры.</w:t>
      </w:r>
    </w:p>
    <w:p>
      <w:pPr>
        <w:pStyle w:val="0"/>
        <w:spacing w:before="200" w:lineRule="auto"/>
        <w:ind w:firstLine="540"/>
        <w:jc w:val="both"/>
      </w:pPr>
      <w:r>
        <w:rPr>
          <w:sz w:val="20"/>
        </w:rPr>
        <w:t xml:space="preserve">В задачи образовательной деятельности в области повышения финансовой грамотности и формирования финансовой культуры входят:</w:t>
      </w:r>
    </w:p>
    <w:p>
      <w:pPr>
        <w:pStyle w:val="0"/>
        <w:spacing w:before="200" w:lineRule="auto"/>
        <w:ind w:firstLine="540"/>
        <w:jc w:val="both"/>
      </w:pPr>
      <w:r>
        <w:rPr>
          <w:sz w:val="20"/>
        </w:rPr>
        <w:t xml:space="preserve">обеспечение системного подхода к повышению финансовой грамотности и формированию финансовой культуры граждан, повышению уровня финансовой безопасности, в том числе финансовой кибербезопасности;</w:t>
      </w:r>
    </w:p>
    <w:p>
      <w:pPr>
        <w:pStyle w:val="0"/>
        <w:spacing w:before="200" w:lineRule="auto"/>
        <w:ind w:firstLine="540"/>
        <w:jc w:val="both"/>
      </w:pPr>
      <w:r>
        <w:rPr>
          <w:sz w:val="20"/>
        </w:rPr>
        <w:t xml:space="preserve">разработка и утверждение критериев и требований к образовательным программам, направленных на повышение уровня финансовой грамотности и финансовой культуры, проведение мониторинга качества реализуемых программ;</w:t>
      </w:r>
    </w:p>
    <w:p>
      <w:pPr>
        <w:pStyle w:val="0"/>
        <w:spacing w:before="200" w:lineRule="auto"/>
        <w:ind w:firstLine="540"/>
        <w:jc w:val="both"/>
      </w:pPr>
      <w:r>
        <w:rPr>
          <w:sz w:val="20"/>
        </w:rPr>
        <w:t xml:space="preserve">внедрение образовательных программ, учебных и методических материалов, обеспечивающих формирование финансовой культуры, в систему образования Российской Федерации на всех уровнях, их своевременная актуализация;</w:t>
      </w:r>
    </w:p>
    <w:p>
      <w:pPr>
        <w:pStyle w:val="0"/>
        <w:spacing w:before="200" w:lineRule="auto"/>
        <w:ind w:firstLine="540"/>
        <w:jc w:val="both"/>
      </w:pPr>
      <w:r>
        <w:rPr>
          <w:sz w:val="20"/>
        </w:rPr>
        <w:t xml:space="preserve">содействие разработке цифровых образовательных продуктов в области повышения финансовой грамотности и формирования финансовой культуры, в том числе в игровых форматах;</w:t>
      </w:r>
    </w:p>
    <w:p>
      <w:pPr>
        <w:pStyle w:val="0"/>
        <w:spacing w:before="200" w:lineRule="auto"/>
        <w:ind w:firstLine="540"/>
        <w:jc w:val="both"/>
      </w:pPr>
      <w:r>
        <w:rPr>
          <w:sz w:val="20"/>
        </w:rPr>
        <w:t xml:space="preserve">проведение школьных олимпиад по финансовой грамотности, в том числе тех, победителям и призерам которых предоставляются особые права при приеме на обучение в соответствии с законодательством Российской Федерации об образовании, проведение студенческих олимпиад по финансовой грамотности;</w:t>
      </w:r>
    </w:p>
    <w:p>
      <w:pPr>
        <w:pStyle w:val="0"/>
        <w:spacing w:before="200" w:lineRule="auto"/>
        <w:ind w:firstLine="540"/>
        <w:jc w:val="both"/>
      </w:pPr>
      <w:r>
        <w:rPr>
          <w:sz w:val="20"/>
        </w:rPr>
        <w:t xml:space="preserve">подготовка и регулярное повышение квалификации педагогических работников дошкольных образовательных, общеобразовательных и профессиональных образовательных организаций, преподавателей образовательных организаций высшего образования;</w:t>
      </w:r>
    </w:p>
    <w:p>
      <w:pPr>
        <w:pStyle w:val="0"/>
        <w:spacing w:before="200" w:lineRule="auto"/>
        <w:ind w:firstLine="540"/>
        <w:jc w:val="both"/>
      </w:pPr>
      <w:r>
        <w:rPr>
          <w:sz w:val="20"/>
        </w:rPr>
        <w:t xml:space="preserve">выявление и продвижение лучших педагогических практик при преподавании финансовой грамотности посредством проведения конкурсов профессионального мастерства для педагогических работников, преподающих образовательные программы, содержащие элементы финансовой грамотности;</w:t>
      </w:r>
    </w:p>
    <w:p>
      <w:pPr>
        <w:pStyle w:val="0"/>
        <w:spacing w:before="200" w:lineRule="auto"/>
        <w:ind w:firstLine="540"/>
        <w:jc w:val="both"/>
      </w:pPr>
      <w:r>
        <w:rPr>
          <w:sz w:val="20"/>
        </w:rPr>
        <w:t xml:space="preserve">проведение оценки образовательных достижений учащихся общеобразовательных организаций по направлению финансовой грамотности и финансовой культуры;</w:t>
      </w:r>
    </w:p>
    <w:p>
      <w:pPr>
        <w:pStyle w:val="0"/>
        <w:spacing w:before="200" w:lineRule="auto"/>
        <w:ind w:firstLine="540"/>
        <w:jc w:val="both"/>
      </w:pPr>
      <w:r>
        <w:rPr>
          <w:sz w:val="20"/>
        </w:rPr>
        <w:t xml:space="preserve">развитие институциональной инфраструктуры и учебно-методических ресурсов образовательного сообщества;</w:t>
      </w:r>
    </w:p>
    <w:p>
      <w:pPr>
        <w:pStyle w:val="0"/>
        <w:spacing w:before="200" w:lineRule="auto"/>
        <w:ind w:firstLine="540"/>
        <w:jc w:val="both"/>
      </w:pPr>
      <w:r>
        <w:rPr>
          <w:sz w:val="20"/>
        </w:rPr>
        <w:t xml:space="preserve">обеспечение доступности обучения и самообучения в области повышения финансовой грамотности и формирования финансовой культуры;</w:t>
      </w:r>
    </w:p>
    <w:p>
      <w:pPr>
        <w:pStyle w:val="0"/>
        <w:spacing w:before="200" w:lineRule="auto"/>
        <w:ind w:firstLine="540"/>
        <w:jc w:val="both"/>
      </w:pPr>
      <w:r>
        <w:rPr>
          <w:sz w:val="20"/>
        </w:rPr>
        <w:t xml:space="preserve">анализ общественного мнения по вопросам финансовой грамотности и финансовой культуры, изучение потребностей общества в получении знаний в области финансовой грамотности и финансовой культуры и обеспечение своевременной реакции на соответствующие запросы;</w:t>
      </w:r>
    </w:p>
    <w:p>
      <w:pPr>
        <w:pStyle w:val="0"/>
        <w:spacing w:before="200" w:lineRule="auto"/>
        <w:ind w:firstLine="540"/>
        <w:jc w:val="both"/>
      </w:pPr>
      <w:r>
        <w:rPr>
          <w:sz w:val="20"/>
        </w:rPr>
        <w:t xml:space="preserve">адаптация образовательных программ с учетом распространенных когнитивных искажений, специфики социокультурных характеристик, в том числе в субъектах Российской Федерации.</w:t>
      </w:r>
    </w:p>
    <w:p>
      <w:pPr>
        <w:pStyle w:val="0"/>
        <w:jc w:val="both"/>
      </w:pPr>
      <w:r>
        <w:rPr>
          <w:sz w:val="20"/>
        </w:rPr>
      </w:r>
    </w:p>
    <w:p>
      <w:pPr>
        <w:pStyle w:val="2"/>
        <w:outlineLvl w:val="2"/>
        <w:jc w:val="center"/>
      </w:pPr>
      <w:r>
        <w:rPr>
          <w:sz w:val="20"/>
        </w:rPr>
        <w:t xml:space="preserve">3. Подготовка кадров в сфере финансовой грамотности</w:t>
      </w:r>
    </w:p>
    <w:p>
      <w:pPr>
        <w:pStyle w:val="0"/>
        <w:jc w:val="both"/>
      </w:pPr>
      <w:r>
        <w:rPr>
          <w:sz w:val="20"/>
        </w:rPr>
      </w:r>
    </w:p>
    <w:p>
      <w:pPr>
        <w:pStyle w:val="0"/>
        <w:ind w:firstLine="540"/>
        <w:jc w:val="both"/>
      </w:pPr>
      <w:r>
        <w:rPr>
          <w:sz w:val="20"/>
        </w:rPr>
        <w:t xml:space="preserve">Целью подготовки кадров в сфере финансовой грамотности является развитие кадрового потенциала учителей, преподавателей, администраторов образовательных организаций, государственных служащих, сотрудников органов социальной защиты населения, финансовых организаций, некоммерческих организаций, граждан, вовлеченных в добровольческую (волонтерскую) деятельность в области финансового просвещения, способствующих распространению знаний в области повышения финансовой грамотности и формирования финансовой культуры.</w:t>
      </w:r>
    </w:p>
    <w:p>
      <w:pPr>
        <w:pStyle w:val="0"/>
        <w:spacing w:before="200" w:lineRule="auto"/>
        <w:ind w:firstLine="540"/>
        <w:jc w:val="both"/>
      </w:pPr>
      <w:r>
        <w:rPr>
          <w:sz w:val="20"/>
        </w:rPr>
        <w:t xml:space="preserve">В задачи подготовки кадров в сфере финансовой грамотности входят:</w:t>
      </w:r>
    </w:p>
    <w:p>
      <w:pPr>
        <w:pStyle w:val="0"/>
        <w:spacing w:before="200" w:lineRule="auto"/>
        <w:ind w:firstLine="540"/>
        <w:jc w:val="both"/>
      </w:pPr>
      <w:r>
        <w:rPr>
          <w:sz w:val="20"/>
        </w:rPr>
        <w:t xml:space="preserve">создание и функционирование многоуровневой каскадной системы обучения и повышения квалификации для всех целевых групп, при которой специалисты, прошедшие обучение в федеральных методических центрах повышения финансовой грамотности населения, в дальнейшем осуществляют подготовку специалистов на региональном уровне, а те, в свою очередь, взаимодействуют с гражданами;</w:t>
      </w:r>
    </w:p>
    <w:p>
      <w:pPr>
        <w:pStyle w:val="0"/>
        <w:spacing w:before="200" w:lineRule="auto"/>
        <w:ind w:firstLine="540"/>
        <w:jc w:val="both"/>
      </w:pPr>
      <w:r>
        <w:rPr>
          <w:sz w:val="20"/>
        </w:rPr>
        <w:t xml:space="preserve">создание и поддержка эффективной инфраструктуры по поддержке деятельности квалифицированных специалистов разных уровней по распространению знаний в области повышения финансовой грамотности и формирования финансовой культуры;</w:t>
      </w:r>
    </w:p>
    <w:p>
      <w:pPr>
        <w:pStyle w:val="0"/>
        <w:spacing w:before="200" w:lineRule="auto"/>
        <w:ind w:firstLine="540"/>
        <w:jc w:val="both"/>
      </w:pPr>
      <w:r>
        <w:rPr>
          <w:sz w:val="20"/>
        </w:rPr>
        <w:t xml:space="preserve">подготовка специалистов в области финансового просвещения.</w:t>
      </w:r>
    </w:p>
    <w:p>
      <w:pPr>
        <w:pStyle w:val="0"/>
        <w:jc w:val="both"/>
      </w:pPr>
      <w:r>
        <w:rPr>
          <w:sz w:val="20"/>
        </w:rPr>
      </w:r>
    </w:p>
    <w:p>
      <w:pPr>
        <w:pStyle w:val="2"/>
        <w:outlineLvl w:val="2"/>
        <w:jc w:val="center"/>
      </w:pPr>
      <w:r>
        <w:rPr>
          <w:sz w:val="20"/>
        </w:rPr>
        <w:t xml:space="preserve">4. Взаимодействие с финансовыми организациями</w:t>
      </w:r>
    </w:p>
    <w:p>
      <w:pPr>
        <w:pStyle w:val="0"/>
        <w:jc w:val="both"/>
      </w:pPr>
      <w:r>
        <w:rPr>
          <w:sz w:val="20"/>
        </w:rPr>
      </w:r>
    </w:p>
    <w:p>
      <w:pPr>
        <w:pStyle w:val="0"/>
        <w:ind w:firstLine="540"/>
        <w:jc w:val="both"/>
      </w:pPr>
      <w:r>
        <w:rPr>
          <w:sz w:val="20"/>
        </w:rPr>
        <w:t xml:space="preserve">К реализации мероприятий Стратегии необходимо привлечь широкий круг участников финансового рынка и саморегулируемые организации в сфере финансового рынка. Необходимо пропагандировать культуру добросовестного предоставления финансовыми организациями финансовых услуг потребителям, стимулировать их ответственное и этичное поведение в отношении клиентов, уделять внимание вопросам верификации распространяемой ими информации в сфере финансовой грамотности.</w:t>
      </w:r>
    </w:p>
    <w:p>
      <w:pPr>
        <w:pStyle w:val="0"/>
        <w:spacing w:before="200" w:lineRule="auto"/>
        <w:ind w:firstLine="540"/>
        <w:jc w:val="both"/>
      </w:pPr>
      <w:r>
        <w:rPr>
          <w:sz w:val="20"/>
        </w:rPr>
        <w:t xml:space="preserve">Взаимодействие государства с финансовыми организациями при реализации мероприятий Стратегии должно быть основано на принципах стратегического партнерства, недопущения конфликта интересов, обеспечения повышения доверия граждан к финансовому рынку.</w:t>
      </w:r>
    </w:p>
    <w:p>
      <w:pPr>
        <w:pStyle w:val="0"/>
        <w:jc w:val="both"/>
      </w:pPr>
      <w:r>
        <w:rPr>
          <w:sz w:val="20"/>
        </w:rPr>
      </w:r>
    </w:p>
    <w:p>
      <w:pPr>
        <w:pStyle w:val="2"/>
        <w:outlineLvl w:val="2"/>
        <w:jc w:val="center"/>
      </w:pPr>
      <w:r>
        <w:rPr>
          <w:sz w:val="20"/>
        </w:rPr>
        <w:t xml:space="preserve">5. Взаимодействие с бизнесом</w:t>
      </w:r>
    </w:p>
    <w:p>
      <w:pPr>
        <w:pStyle w:val="0"/>
        <w:jc w:val="both"/>
      </w:pPr>
      <w:r>
        <w:rPr>
          <w:sz w:val="20"/>
        </w:rPr>
      </w:r>
    </w:p>
    <w:p>
      <w:pPr>
        <w:pStyle w:val="0"/>
        <w:ind w:firstLine="540"/>
        <w:jc w:val="both"/>
      </w:pPr>
      <w:r>
        <w:rPr>
          <w:sz w:val="20"/>
        </w:rPr>
        <w:t xml:space="preserve">Взаимодействие с бизнесом в рамках реализации Стратегии включает следующие направления:</w:t>
      </w:r>
    </w:p>
    <w:p>
      <w:pPr>
        <w:pStyle w:val="0"/>
        <w:spacing w:before="200" w:lineRule="auto"/>
        <w:ind w:firstLine="540"/>
        <w:jc w:val="both"/>
      </w:pPr>
      <w:r>
        <w:rPr>
          <w:sz w:val="20"/>
        </w:rPr>
        <w:t xml:space="preserve">поддержка инициатив со стороны организаций (как финансового, так и нефинансового сектора) по разработке и реализации программ, направленных на повышение уровня финансовой грамотности и финансовой культуры собственных работников в рамках внутреннего корпоративного образования;</w:t>
      </w:r>
    </w:p>
    <w:p>
      <w:pPr>
        <w:pStyle w:val="0"/>
        <w:spacing w:before="200" w:lineRule="auto"/>
        <w:ind w:firstLine="540"/>
        <w:jc w:val="both"/>
      </w:pPr>
      <w:r>
        <w:rPr>
          <w:sz w:val="20"/>
        </w:rPr>
        <w:t xml:space="preserve">создание в организациях центров финансового просвещения, работающих на постоянной основе, продвижение финансовой грамотности и финансовой культуры сотрудников как части ESG-повестки компаний;</w:t>
      </w:r>
    </w:p>
    <w:p>
      <w:pPr>
        <w:pStyle w:val="0"/>
        <w:spacing w:before="200" w:lineRule="auto"/>
        <w:ind w:firstLine="540"/>
        <w:jc w:val="both"/>
      </w:pPr>
      <w:r>
        <w:rPr>
          <w:sz w:val="20"/>
        </w:rPr>
        <w:t xml:space="preserve">обучение представителей микро- и малого бизнеса, индивидуальных предпринимателей и плательщиков налога на профессиональный доход навыкам правильного отношения к финансам в рамках предпринимательской деятельности;</w:t>
      </w:r>
    </w:p>
    <w:p>
      <w:pPr>
        <w:pStyle w:val="0"/>
        <w:spacing w:before="200" w:lineRule="auto"/>
        <w:ind w:firstLine="540"/>
        <w:jc w:val="both"/>
      </w:pPr>
      <w:r>
        <w:rPr>
          <w:sz w:val="20"/>
        </w:rPr>
        <w:t xml:space="preserve">взаимодействие с объединениями, представляющими бизнес, и бизнес-сообществами по вопросам финансовой грамотности и финансовой культуры;</w:t>
      </w:r>
    </w:p>
    <w:p>
      <w:pPr>
        <w:pStyle w:val="0"/>
        <w:spacing w:before="200" w:lineRule="auto"/>
        <w:ind w:firstLine="540"/>
        <w:jc w:val="both"/>
      </w:pPr>
      <w:r>
        <w:rPr>
          <w:sz w:val="20"/>
        </w:rPr>
        <w:t xml:space="preserve">вовлечение бизнеса в добровольческую (волонтерскую) деятельность в области финансового просвещения.</w:t>
      </w:r>
    </w:p>
    <w:p>
      <w:pPr>
        <w:pStyle w:val="0"/>
        <w:spacing w:before="200" w:lineRule="auto"/>
        <w:ind w:firstLine="540"/>
        <w:jc w:val="both"/>
      </w:pPr>
      <w:r>
        <w:rPr>
          <w:sz w:val="20"/>
        </w:rPr>
        <w:t xml:space="preserve">Последующее развитие корпоративных программ долгосрочного накопления позволит максимально увеличить охват работающих граждан, у которых при участии работодателей будет формироваться дополнительный доход к будущей пенсии независимо от уровня финансового обеспечения.</w:t>
      </w:r>
    </w:p>
    <w:p>
      <w:pPr>
        <w:pStyle w:val="0"/>
        <w:jc w:val="both"/>
      </w:pPr>
      <w:r>
        <w:rPr>
          <w:sz w:val="20"/>
        </w:rPr>
      </w:r>
    </w:p>
    <w:p>
      <w:pPr>
        <w:pStyle w:val="2"/>
        <w:outlineLvl w:val="2"/>
        <w:jc w:val="center"/>
      </w:pPr>
      <w:r>
        <w:rPr>
          <w:sz w:val="20"/>
        </w:rPr>
        <w:t xml:space="preserve">6. Взаимодействие с гражданским обществом</w:t>
      </w:r>
    </w:p>
    <w:p>
      <w:pPr>
        <w:pStyle w:val="2"/>
        <w:jc w:val="center"/>
      </w:pPr>
      <w:r>
        <w:rPr>
          <w:sz w:val="20"/>
        </w:rPr>
        <w:t xml:space="preserve">и некоммерческими организациями</w:t>
      </w:r>
    </w:p>
    <w:p>
      <w:pPr>
        <w:pStyle w:val="0"/>
        <w:jc w:val="both"/>
      </w:pPr>
      <w:r>
        <w:rPr>
          <w:sz w:val="20"/>
        </w:rPr>
      </w:r>
    </w:p>
    <w:p>
      <w:pPr>
        <w:pStyle w:val="0"/>
        <w:ind w:firstLine="540"/>
        <w:jc w:val="both"/>
      </w:pPr>
      <w:r>
        <w:rPr>
          <w:sz w:val="20"/>
        </w:rPr>
        <w:t xml:space="preserve">К реализации мероприятий Стратегии необходимо на постоянной основе привлекать широкий круг участников, включая образовательные и научные организации, общественные объединения потребителей, объединения работодателей, иные некоммерческие организации, экспертное сообщество и активных граждан.</w:t>
      </w:r>
    </w:p>
    <w:p>
      <w:pPr>
        <w:pStyle w:val="0"/>
        <w:spacing w:before="200" w:lineRule="auto"/>
        <w:ind w:firstLine="540"/>
        <w:jc w:val="both"/>
      </w:pPr>
      <w:r>
        <w:rPr>
          <w:sz w:val="20"/>
        </w:rPr>
        <w:t xml:space="preserve">Развитие взаимодействия с гражданским обществом в сфере повышения финансовой грамотности и формирования финансовой культуры должно сопровождаться формированием этических правил поведения участников такого взаимодействия.</w:t>
      </w:r>
    </w:p>
    <w:p>
      <w:pPr>
        <w:pStyle w:val="0"/>
        <w:spacing w:before="200" w:lineRule="auto"/>
        <w:ind w:firstLine="540"/>
        <w:jc w:val="both"/>
      </w:pPr>
      <w:r>
        <w:rPr>
          <w:sz w:val="20"/>
        </w:rPr>
        <w:t xml:space="preserve">Участники реализации Стратегии и некоммерческие организации поддерживают и способствуют развитию добровольчества (волонтерства) в сфере финансовой грамотности и финансовой культуры.</w:t>
      </w:r>
    </w:p>
    <w:p>
      <w:pPr>
        <w:pStyle w:val="0"/>
        <w:jc w:val="both"/>
      </w:pPr>
      <w:r>
        <w:rPr>
          <w:sz w:val="20"/>
        </w:rPr>
      </w:r>
    </w:p>
    <w:p>
      <w:pPr>
        <w:pStyle w:val="2"/>
        <w:outlineLvl w:val="2"/>
        <w:jc w:val="center"/>
      </w:pPr>
      <w:r>
        <w:rPr>
          <w:sz w:val="20"/>
        </w:rPr>
        <w:t xml:space="preserve">7. Развитие международного сотрудничества</w:t>
      </w:r>
    </w:p>
    <w:p>
      <w:pPr>
        <w:pStyle w:val="0"/>
        <w:jc w:val="both"/>
      </w:pPr>
      <w:r>
        <w:rPr>
          <w:sz w:val="20"/>
        </w:rPr>
      </w:r>
    </w:p>
    <w:p>
      <w:pPr>
        <w:pStyle w:val="0"/>
        <w:ind w:firstLine="540"/>
        <w:jc w:val="both"/>
      </w:pPr>
      <w:r>
        <w:rPr>
          <w:sz w:val="20"/>
        </w:rPr>
        <w:t xml:space="preserve">Международное сотрудничество будет направлено на продвижение результатов и расширение обмена опытом в сфере повышения финансовой грамотности и формирования финансовой культуры с зарубежными странами, в том числе со странами - членами Содружества Независимых Государств, Евразийского экономического союза, БРИКС, Шанхайской организации сотрудничества, странами - членами Альянса за финансовую доступность и других объединений.</w:t>
      </w:r>
    </w:p>
    <w:p>
      <w:pPr>
        <w:pStyle w:val="0"/>
        <w:spacing w:before="200" w:lineRule="auto"/>
        <w:ind w:firstLine="540"/>
        <w:jc w:val="both"/>
      </w:pPr>
      <w:r>
        <w:rPr>
          <w:sz w:val="20"/>
        </w:rPr>
        <w:t xml:space="preserve">В рамках реализации Стратегии будет продолжена работа по следующим направлениям:</w:t>
      </w:r>
    </w:p>
    <w:p>
      <w:pPr>
        <w:pStyle w:val="0"/>
        <w:spacing w:before="200" w:lineRule="auto"/>
        <w:ind w:firstLine="540"/>
        <w:jc w:val="both"/>
      </w:pPr>
      <w:r>
        <w:rPr>
          <w:sz w:val="20"/>
        </w:rPr>
        <w:t xml:space="preserve">участие в работе международных организаций и объединений для внесения предложений по улучшению действующих и разработке новых руководящих документов Евразийского экономического союза, форума "Группа двадцати", форума "Азиатско-тихоокеанское экономическое сотрудничество" и других документов;</w:t>
      </w:r>
    </w:p>
    <w:p>
      <w:pPr>
        <w:pStyle w:val="0"/>
        <w:spacing w:before="200" w:lineRule="auto"/>
        <w:ind w:firstLine="540"/>
        <w:jc w:val="both"/>
      </w:pPr>
      <w:r>
        <w:rPr>
          <w:sz w:val="20"/>
        </w:rPr>
        <w:t xml:space="preserve">участие в международных конференциях для обмена опытом и представления информации о ходе и результатах реализации Стратегии в Российской Федерации;</w:t>
      </w:r>
    </w:p>
    <w:p>
      <w:pPr>
        <w:pStyle w:val="0"/>
        <w:spacing w:before="200" w:lineRule="auto"/>
        <w:ind w:firstLine="540"/>
        <w:jc w:val="both"/>
      </w:pPr>
      <w:r>
        <w:rPr>
          <w:sz w:val="20"/>
        </w:rPr>
        <w:t xml:space="preserve">анализ лучших зарубежных практик по реализации национальных стратегий повышения финансовой грамотности и формирования финансовой культуры, в том числе в странах - членах Содружества Независимых Государств, и оценка возможностей их использования;</w:t>
      </w:r>
    </w:p>
    <w:p>
      <w:pPr>
        <w:pStyle w:val="0"/>
        <w:spacing w:before="200" w:lineRule="auto"/>
        <w:ind w:firstLine="540"/>
        <w:jc w:val="both"/>
      </w:pPr>
      <w:r>
        <w:rPr>
          <w:sz w:val="20"/>
        </w:rPr>
        <w:t xml:space="preserve">предоставление информации о российском опыте в области повышения финансовой грамотности и формирования финансовой культуры, обмен опытом с заинтересованными странами;</w:t>
      </w:r>
    </w:p>
    <w:p>
      <w:pPr>
        <w:pStyle w:val="0"/>
        <w:spacing w:before="200" w:lineRule="auto"/>
        <w:ind w:firstLine="540"/>
        <w:jc w:val="both"/>
      </w:pPr>
      <w:r>
        <w:rPr>
          <w:sz w:val="20"/>
        </w:rPr>
        <w:t xml:space="preserve">масштабирование возможностей трансграничных финансовых операций для граждан;</w:t>
      </w:r>
    </w:p>
    <w:p>
      <w:pPr>
        <w:pStyle w:val="0"/>
        <w:spacing w:before="200" w:lineRule="auto"/>
        <w:ind w:firstLine="540"/>
        <w:jc w:val="both"/>
      </w:pPr>
      <w:r>
        <w:rPr>
          <w:sz w:val="20"/>
        </w:rPr>
        <w:t xml:space="preserve">формирование эффективной системы защиты прав потребителей и инвесторов при трансграничном оказании финансовых услуг, в том числе путем расширения регуляторного и надзорного взаимодействия Центрального банка Российской Федерации с иностранными регуляторами финансового рынка в дружественных юрисдикциях.</w:t>
      </w:r>
    </w:p>
    <w:p>
      <w:pPr>
        <w:pStyle w:val="0"/>
        <w:jc w:val="both"/>
      </w:pPr>
      <w:r>
        <w:rPr>
          <w:sz w:val="20"/>
        </w:rPr>
      </w:r>
    </w:p>
    <w:p>
      <w:pPr>
        <w:pStyle w:val="2"/>
        <w:outlineLvl w:val="2"/>
        <w:jc w:val="center"/>
      </w:pPr>
      <w:r>
        <w:rPr>
          <w:sz w:val="20"/>
        </w:rPr>
        <w:t xml:space="preserve">8. Развитие практик инициативного бюджетирования, иных</w:t>
      </w:r>
    </w:p>
    <w:p>
      <w:pPr>
        <w:pStyle w:val="2"/>
        <w:jc w:val="center"/>
      </w:pPr>
      <w:r>
        <w:rPr>
          <w:sz w:val="20"/>
        </w:rPr>
        <w:t xml:space="preserve">практик, а также обеспечение открытости бюджетной информации</w:t>
      </w:r>
    </w:p>
    <w:p>
      <w:pPr>
        <w:pStyle w:val="0"/>
        <w:jc w:val="both"/>
      </w:pPr>
      <w:r>
        <w:rPr>
          <w:sz w:val="20"/>
        </w:rPr>
      </w:r>
    </w:p>
    <w:p>
      <w:pPr>
        <w:pStyle w:val="0"/>
        <w:ind w:firstLine="540"/>
        <w:jc w:val="both"/>
      </w:pPr>
      <w:r>
        <w:rPr>
          <w:sz w:val="20"/>
        </w:rPr>
        <w:t xml:space="preserve">Федеральные органы исполнительной власти, исполнительные органы субъектов Российской Федерации и органы местного самоуправления поддерживают и способствуют развитию инструментов участия граждан в бюджетном процессе, практик инициативного бюджетирования и иных практик, а также в сфере своего ведения обеспечивают размещение актуальной информации о бюджетной системе Российской Федерации в открытом и понятном формате для широкого круга лиц.</w:t>
      </w:r>
    </w:p>
    <w:p>
      <w:pPr>
        <w:pStyle w:val="0"/>
        <w:jc w:val="both"/>
      </w:pPr>
      <w:r>
        <w:rPr>
          <w:sz w:val="20"/>
        </w:rPr>
      </w:r>
    </w:p>
    <w:p>
      <w:pPr>
        <w:pStyle w:val="2"/>
        <w:outlineLvl w:val="1"/>
        <w:jc w:val="center"/>
      </w:pPr>
      <w:r>
        <w:rPr>
          <w:sz w:val="20"/>
        </w:rPr>
        <w:t xml:space="preserve">VI. Механизмы реализации, индикаторы (показатели),</w:t>
      </w:r>
    </w:p>
    <w:p>
      <w:pPr>
        <w:pStyle w:val="2"/>
        <w:jc w:val="center"/>
      </w:pPr>
      <w:r>
        <w:rPr>
          <w:sz w:val="20"/>
        </w:rPr>
        <w:t xml:space="preserve">мониторинг и риски реализации Стратегии</w:t>
      </w:r>
    </w:p>
    <w:p>
      <w:pPr>
        <w:pStyle w:val="0"/>
        <w:jc w:val="both"/>
      </w:pPr>
      <w:r>
        <w:rPr>
          <w:sz w:val="20"/>
        </w:rPr>
      </w:r>
    </w:p>
    <w:p>
      <w:pPr>
        <w:pStyle w:val="0"/>
        <w:ind w:firstLine="540"/>
        <w:jc w:val="both"/>
      </w:pPr>
      <w:r>
        <w:rPr>
          <w:sz w:val="20"/>
        </w:rPr>
        <w:t xml:space="preserve">Участниками реализации Стратегии являются федеральные органы исполнительной власти, исполнительные органы субъектов Российской Федерации, органы местного самоуправления, Центральный банк Российской Федерации и другие организации.</w:t>
      </w:r>
    </w:p>
    <w:p>
      <w:pPr>
        <w:pStyle w:val="0"/>
        <w:spacing w:before="200" w:lineRule="auto"/>
        <w:ind w:firstLine="540"/>
        <w:jc w:val="both"/>
      </w:pPr>
      <w:r>
        <w:rPr>
          <w:sz w:val="20"/>
        </w:rPr>
        <w:t xml:space="preserve">Практическое достижение целей и задач Стратегии будет осуществляться в соответствии с планом мероприятий ("дорожной картой") по реализации Стратегии (далее - дорожная карта), утверждаемым Министерством финансов Российской Федерации совместно с Центральным банком Российской Федерации.</w:t>
      </w:r>
    </w:p>
    <w:p>
      <w:pPr>
        <w:pStyle w:val="0"/>
        <w:spacing w:before="200" w:lineRule="auto"/>
        <w:ind w:firstLine="540"/>
        <w:jc w:val="both"/>
      </w:pPr>
      <w:r>
        <w:rPr>
          <w:sz w:val="20"/>
        </w:rPr>
        <w:t xml:space="preserve">Для достижения целей и решения задач Стратегии, обеспечения координации действий участников Стратегии, а также реализации мероприятий дорожной карты создается межведомственная координационная комиссия (далее - комиссия).</w:t>
      </w:r>
    </w:p>
    <w:p>
      <w:pPr>
        <w:pStyle w:val="0"/>
        <w:spacing w:before="200" w:lineRule="auto"/>
        <w:ind w:firstLine="540"/>
        <w:jc w:val="both"/>
      </w:pPr>
      <w:r>
        <w:rPr>
          <w:sz w:val="20"/>
        </w:rPr>
        <w:t xml:space="preserve">Полномочия, компетенция и порядок работы комиссии определяются положением, утверждаемым Правительством Российской Федерации.</w:t>
      </w:r>
    </w:p>
    <w:p>
      <w:pPr>
        <w:pStyle w:val="0"/>
        <w:spacing w:before="200" w:lineRule="auto"/>
        <w:ind w:firstLine="540"/>
        <w:jc w:val="both"/>
      </w:pPr>
      <w:r>
        <w:rPr>
          <w:sz w:val="20"/>
        </w:rPr>
        <w:t xml:space="preserve">Министерство финансов Российской Федерации и Центральный банк Российской Федерации участвуют в управлении реализацией Стратегии на условиях системного партнерства и паритета.</w:t>
      </w:r>
    </w:p>
    <w:p>
      <w:pPr>
        <w:pStyle w:val="0"/>
        <w:spacing w:before="200" w:lineRule="auto"/>
        <w:ind w:firstLine="540"/>
        <w:jc w:val="both"/>
      </w:pPr>
      <w:r>
        <w:rPr>
          <w:sz w:val="20"/>
        </w:rPr>
        <w:t xml:space="preserve">Деятельность комиссии обеспечивается на принципах сопредседательства Министра финансов Российской Федерации (заместителя Министра финансов Российской Федерации) и Председателя Центрального банка Российской Федерации (заместителя Председателя Центрального банка Российской Федерации).</w:t>
      </w:r>
    </w:p>
    <w:p>
      <w:pPr>
        <w:pStyle w:val="0"/>
        <w:spacing w:before="200" w:lineRule="auto"/>
        <w:ind w:firstLine="540"/>
        <w:jc w:val="both"/>
      </w:pPr>
      <w:r>
        <w:rPr>
          <w:sz w:val="20"/>
        </w:rPr>
        <w:t xml:space="preserve">Состав комиссии утверждается совместным решением Министерства финансов Российской Федерации и Центрального банка Российской Федерации.</w:t>
      </w:r>
    </w:p>
    <w:p>
      <w:pPr>
        <w:pStyle w:val="0"/>
        <w:spacing w:before="200" w:lineRule="auto"/>
        <w:ind w:firstLine="540"/>
        <w:jc w:val="both"/>
      </w:pPr>
      <w:r>
        <w:rPr>
          <w:sz w:val="20"/>
        </w:rPr>
        <w:t xml:space="preserve">В состав комиссии входят представители федеральных органов исполнительной власти, исполнительных органов власти субъектов Российской Федерации, Центрального банка Российской Федерации, а также представители заинтересованных организаций.</w:t>
      </w:r>
    </w:p>
    <w:p>
      <w:pPr>
        <w:pStyle w:val="0"/>
        <w:spacing w:before="200" w:lineRule="auto"/>
        <w:ind w:firstLine="540"/>
        <w:jc w:val="both"/>
      </w:pPr>
      <w:r>
        <w:rPr>
          <w:sz w:val="20"/>
        </w:rPr>
        <w:t xml:space="preserve">Представители экспертного и научного сообщества оказывают аналитическую и консультационную поддержку комиссии.</w:t>
      </w:r>
    </w:p>
    <w:p>
      <w:pPr>
        <w:pStyle w:val="0"/>
        <w:spacing w:before="200" w:lineRule="auto"/>
        <w:ind w:firstLine="540"/>
        <w:jc w:val="both"/>
      </w:pPr>
      <w:r>
        <w:rPr>
          <w:sz w:val="20"/>
        </w:rPr>
        <w:t xml:space="preserve">Инструментом достижения целей Стратегии в субъектах Российской Федерации являются государственные программы субъектов Российской Федерации (структурные элементы государственных программ субъектов Российской Федерации) и региональные программы, направленные на повышение финансовой грамотности и формирование финансовой культуры граждан.</w:t>
      </w:r>
    </w:p>
    <w:p>
      <w:pPr>
        <w:pStyle w:val="0"/>
        <w:spacing w:before="200" w:lineRule="auto"/>
        <w:ind w:firstLine="540"/>
        <w:jc w:val="both"/>
      </w:pPr>
      <w:r>
        <w:rPr>
          <w:sz w:val="20"/>
        </w:rPr>
        <w:t xml:space="preserve">Для оценки достижения целей реализации Стратегии и мероприятий дорожной карты предусмотрены индикаторы (показатели) реализации Стратегии, которые приведены в </w:t>
      </w:r>
      <w:hyperlink w:history="0" w:anchor="P310" w:tooltip="ИНДИКАТОРЫ (ПОКАЗАТЕЛИ)">
        <w:r>
          <w:rPr>
            <w:sz w:val="20"/>
            <w:color w:val="0000ff"/>
          </w:rPr>
          <w:t xml:space="preserve">приложении</w:t>
        </w:r>
      </w:hyperlink>
      <w:r>
        <w:rPr>
          <w:sz w:val="20"/>
        </w:rPr>
        <w:t xml:space="preserve">.</w:t>
      </w:r>
    </w:p>
    <w:p>
      <w:pPr>
        <w:pStyle w:val="0"/>
        <w:spacing w:before="200" w:lineRule="auto"/>
        <w:ind w:firstLine="540"/>
        <w:jc w:val="both"/>
      </w:pPr>
      <w:r>
        <w:rPr>
          <w:sz w:val="20"/>
        </w:rPr>
        <w:t xml:space="preserve">Порядок проведения мониторинга реализации Стратегии устанавливается комиссией.</w:t>
      </w:r>
    </w:p>
    <w:p>
      <w:pPr>
        <w:pStyle w:val="0"/>
        <w:spacing w:before="200" w:lineRule="auto"/>
        <w:ind w:firstLine="540"/>
        <w:jc w:val="both"/>
      </w:pPr>
      <w:r>
        <w:rPr>
          <w:sz w:val="20"/>
        </w:rPr>
        <w:t xml:space="preserve">Центральный банк Российской Федерации и Министерство финансов Российской Федерации совместно с участниками Стратегии осуществляют мониторинг динамики изменения </w:t>
      </w:r>
      <w:hyperlink w:history="0" w:anchor="P310" w:tooltip="ИНДИКАТОРЫ (ПОКАЗАТЕЛИ)">
        <w:r>
          <w:rPr>
            <w:sz w:val="20"/>
            <w:color w:val="0000ff"/>
          </w:rPr>
          <w:t xml:space="preserve">индикаторов</w:t>
        </w:r>
      </w:hyperlink>
      <w:r>
        <w:rPr>
          <w:sz w:val="20"/>
        </w:rPr>
        <w:t xml:space="preserve"> (показателей) реализации Стратегии. При оценке уровня финансовой культуры необходимо учитывать региональную специфику и использовать единую методологию исследований с обеспечением взаимоувязанности с проведенными исследованиями.</w:t>
      </w:r>
    </w:p>
    <w:p>
      <w:pPr>
        <w:pStyle w:val="0"/>
        <w:spacing w:before="200" w:lineRule="auto"/>
        <w:ind w:firstLine="540"/>
        <w:jc w:val="both"/>
      </w:pPr>
      <w:r>
        <w:rPr>
          <w:sz w:val="20"/>
        </w:rPr>
        <w:t xml:space="preserve">Мониторинг реализации Стратегии осуществляется посредством комплексного анализа результатов мероприятий дорожной карты и достигнутых </w:t>
      </w:r>
      <w:hyperlink w:history="0" w:anchor="P310" w:tooltip="ИНДИКАТОРЫ (ПОКАЗАТЕЛИ)">
        <w:r>
          <w:rPr>
            <w:sz w:val="20"/>
            <w:color w:val="0000ff"/>
          </w:rPr>
          <w:t xml:space="preserve">индикаторов</w:t>
        </w:r>
      </w:hyperlink>
      <w:r>
        <w:rPr>
          <w:sz w:val="20"/>
        </w:rPr>
        <w:t xml:space="preserve"> (показателей) реализации Стратегии.</w:t>
      </w:r>
    </w:p>
    <w:p>
      <w:pPr>
        <w:pStyle w:val="0"/>
        <w:spacing w:before="200" w:lineRule="auto"/>
        <w:ind w:firstLine="540"/>
        <w:jc w:val="both"/>
      </w:pPr>
      <w:r>
        <w:rPr>
          <w:sz w:val="20"/>
        </w:rPr>
        <w:t xml:space="preserve">Данные мониторинга реализации Стратегии являются основой для принятия управленческих решений по корректировке дорожной карты, а также по внесению в Правительство Российской Федерации предложений о корректировке Стратегии.</w:t>
      </w:r>
    </w:p>
    <w:p>
      <w:pPr>
        <w:pStyle w:val="0"/>
        <w:spacing w:before="200" w:lineRule="auto"/>
        <w:ind w:firstLine="540"/>
        <w:jc w:val="both"/>
      </w:pPr>
      <w:r>
        <w:rPr>
          <w:sz w:val="20"/>
        </w:rPr>
        <w:t xml:space="preserve">Комиссия обеспечивает представление в Правительство Российской Федерации ежегодного аналитического доклада о ходе реализации в соответствующем году Стратегии.</w:t>
      </w:r>
    </w:p>
    <w:p>
      <w:pPr>
        <w:pStyle w:val="0"/>
        <w:spacing w:before="200" w:lineRule="auto"/>
        <w:ind w:firstLine="540"/>
        <w:jc w:val="both"/>
      </w:pPr>
      <w:r>
        <w:rPr>
          <w:sz w:val="20"/>
        </w:rPr>
        <w:t xml:space="preserve">Участники реализации Стратегии представляют в Комиссию информацию о достигнутых в ходе реализации Стратегии результатах по форме и в сроки, которые утверждаются комиссией.</w:t>
      </w:r>
    </w:p>
    <w:p>
      <w:pPr>
        <w:pStyle w:val="0"/>
        <w:spacing w:before="200" w:lineRule="auto"/>
        <w:ind w:firstLine="540"/>
        <w:jc w:val="both"/>
      </w:pPr>
      <w:r>
        <w:rPr>
          <w:sz w:val="20"/>
        </w:rPr>
        <w:t xml:space="preserve">К основным рискам реализации Стратегии относятся:</w:t>
      </w:r>
    </w:p>
    <w:p>
      <w:pPr>
        <w:pStyle w:val="0"/>
        <w:spacing w:before="200" w:lineRule="auto"/>
        <w:ind w:firstLine="540"/>
        <w:jc w:val="both"/>
      </w:pPr>
      <w:r>
        <w:rPr>
          <w:sz w:val="20"/>
        </w:rPr>
        <w:t xml:space="preserve">риски, связанные с изменением макроэкономической ситуации;</w:t>
      </w:r>
    </w:p>
    <w:p>
      <w:pPr>
        <w:pStyle w:val="0"/>
        <w:spacing w:before="200" w:lineRule="auto"/>
        <w:ind w:firstLine="540"/>
        <w:jc w:val="both"/>
      </w:pPr>
      <w:r>
        <w:rPr>
          <w:sz w:val="20"/>
        </w:rPr>
        <w:t xml:space="preserve">риски, связанные с нормативной базой;</w:t>
      </w:r>
    </w:p>
    <w:p>
      <w:pPr>
        <w:pStyle w:val="0"/>
        <w:spacing w:before="200" w:lineRule="auto"/>
        <w:ind w:firstLine="540"/>
        <w:jc w:val="both"/>
      </w:pPr>
      <w:r>
        <w:rPr>
          <w:sz w:val="20"/>
        </w:rPr>
        <w:t xml:space="preserve">риски, связанные с развитием российского финансового рынка;</w:t>
      </w:r>
    </w:p>
    <w:p>
      <w:pPr>
        <w:pStyle w:val="0"/>
        <w:spacing w:before="200" w:lineRule="auto"/>
        <w:ind w:firstLine="540"/>
        <w:jc w:val="both"/>
      </w:pPr>
      <w:r>
        <w:rPr>
          <w:sz w:val="20"/>
        </w:rPr>
        <w:t xml:space="preserve">риски, связанные с опережающим технологическим развитием финансовых услуг;</w:t>
      </w:r>
    </w:p>
    <w:p>
      <w:pPr>
        <w:pStyle w:val="0"/>
        <w:spacing w:before="200" w:lineRule="auto"/>
        <w:ind w:firstLine="540"/>
        <w:jc w:val="both"/>
      </w:pPr>
      <w:r>
        <w:rPr>
          <w:sz w:val="20"/>
        </w:rPr>
        <w:t xml:space="preserve">риски, связанные с недостаточным ресурсным обеспечением реализации мероприятий Стратегии;</w:t>
      </w:r>
    </w:p>
    <w:p>
      <w:pPr>
        <w:pStyle w:val="0"/>
        <w:spacing w:before="200" w:lineRule="auto"/>
        <w:ind w:firstLine="540"/>
        <w:jc w:val="both"/>
      </w:pPr>
      <w:r>
        <w:rPr>
          <w:sz w:val="20"/>
        </w:rPr>
        <w:t xml:space="preserve">риски, связанные с работой системы управления реализацией Стратегии.</w:t>
      </w:r>
    </w:p>
    <w:p>
      <w:pPr>
        <w:pStyle w:val="0"/>
        <w:spacing w:before="200" w:lineRule="auto"/>
        <w:ind w:firstLine="540"/>
        <w:jc w:val="both"/>
      </w:pPr>
      <w:r>
        <w:rPr>
          <w:sz w:val="20"/>
        </w:rPr>
        <w:t xml:space="preserve">Комиссия на постоянной основе отслеживает и оценивает уровень рисков реализации Стратегии и принимает необходимые меры по управлению рисками.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Стратегии повышения финансовой</w:t>
      </w:r>
    </w:p>
    <w:p>
      <w:pPr>
        <w:pStyle w:val="0"/>
        <w:jc w:val="right"/>
      </w:pPr>
      <w:r>
        <w:rPr>
          <w:sz w:val="20"/>
        </w:rPr>
        <w:t xml:space="preserve">грамотности и формирования финансовой</w:t>
      </w:r>
    </w:p>
    <w:p>
      <w:pPr>
        <w:pStyle w:val="0"/>
        <w:jc w:val="right"/>
      </w:pPr>
      <w:r>
        <w:rPr>
          <w:sz w:val="20"/>
        </w:rPr>
        <w:t xml:space="preserve">культуры до 2030 года</w:t>
      </w:r>
    </w:p>
    <w:p>
      <w:pPr>
        <w:pStyle w:val="0"/>
        <w:jc w:val="both"/>
      </w:pPr>
      <w:r>
        <w:rPr>
          <w:sz w:val="20"/>
        </w:rPr>
      </w:r>
    </w:p>
    <w:bookmarkStart w:id="310" w:name="P310"/>
    <w:bookmarkEnd w:id="310"/>
    <w:p>
      <w:pPr>
        <w:pStyle w:val="2"/>
        <w:jc w:val="center"/>
      </w:pPr>
      <w:r>
        <w:rPr>
          <w:sz w:val="20"/>
        </w:rPr>
        <w:t xml:space="preserve">ИНДИКАТОРЫ (ПОКАЗАТЕЛИ)</w:t>
      </w:r>
    </w:p>
    <w:p>
      <w:pPr>
        <w:pStyle w:val="2"/>
        <w:jc w:val="center"/>
      </w:pPr>
      <w:r>
        <w:rPr>
          <w:sz w:val="20"/>
        </w:rPr>
        <w:t xml:space="preserve">РЕАЛИЗАЦИИ СТРАТЕГИИ ПОВЫШЕНИЯ ФИНАНСОВОЙ ГРАМОТНОСТИ</w:t>
      </w:r>
    </w:p>
    <w:p>
      <w:pPr>
        <w:pStyle w:val="2"/>
        <w:jc w:val="center"/>
      </w:pPr>
      <w:r>
        <w:rPr>
          <w:sz w:val="20"/>
        </w:rPr>
        <w:t xml:space="preserve">И ФОРМИРОВАНИЯ ФИНАНСОВОЙ КУЛЬТУРЫ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4"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color w:val="392c69"/>
              </w:rPr>
              <w:t xml:space="preserve"> Правительства РФ от 15.10.2025 N 2868-р)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4627"/>
        <w:gridCol w:w="2214"/>
        <w:gridCol w:w="2214"/>
      </w:tblGrid>
      <w:tr>
        <w:tblPrEx>
          <w:tblBorders>
            <w:insideV w:val="single" w:sz="4"/>
            <w:insideH w:val="single" w:sz="4"/>
          </w:tblBorders>
        </w:tblPrEx>
        <w:tc>
          <w:tcPr>
            <w:tcW w:w="4627" w:type="dxa"/>
            <w:tcBorders>
              <w:top w:val="single" w:sz="4"/>
              <w:left w:val="nil"/>
              <w:bottom w:val="single" w:sz="4"/>
            </w:tcBorders>
          </w:tcPr>
          <w:p>
            <w:pPr>
              <w:pStyle w:val="0"/>
              <w:jc w:val="center"/>
            </w:pPr>
            <w:r>
              <w:rPr>
                <w:sz w:val="20"/>
              </w:rPr>
              <w:t xml:space="preserve">Наименование индикатора (показателя)</w:t>
            </w:r>
          </w:p>
        </w:tc>
        <w:tc>
          <w:tcPr>
            <w:tcW w:w="2214" w:type="dxa"/>
            <w:tcBorders>
              <w:top w:val="single" w:sz="4"/>
              <w:bottom w:val="single" w:sz="4"/>
            </w:tcBorders>
          </w:tcPr>
          <w:p>
            <w:pPr>
              <w:pStyle w:val="0"/>
              <w:jc w:val="center"/>
            </w:pPr>
            <w:r>
              <w:rPr>
                <w:sz w:val="20"/>
              </w:rPr>
              <w:t xml:space="preserve">Базовое значение (2023 год)</w:t>
            </w:r>
          </w:p>
        </w:tc>
        <w:tc>
          <w:tcPr>
            <w:tcW w:w="2214" w:type="dxa"/>
            <w:tcBorders>
              <w:top w:val="single" w:sz="4"/>
              <w:bottom w:val="single" w:sz="4"/>
              <w:right w:val="nil"/>
            </w:tcBorders>
          </w:tcPr>
          <w:p>
            <w:pPr>
              <w:pStyle w:val="0"/>
              <w:jc w:val="center"/>
            </w:pPr>
            <w:r>
              <w:rPr>
                <w:sz w:val="20"/>
              </w:rPr>
              <w:t xml:space="preserve">Прогнозный диапазон (2030 год)</w:t>
            </w:r>
          </w:p>
        </w:tc>
      </w:tr>
      <w:tr>
        <w:tc>
          <w:tcPr>
            <w:tcW w:w="4627" w:type="dxa"/>
            <w:tcBorders>
              <w:top w:val="single" w:sz="4"/>
              <w:left w:val="nil"/>
              <w:bottom w:val="nil"/>
              <w:right w:val="nil"/>
            </w:tcBorders>
          </w:tcPr>
          <w:p>
            <w:pPr>
              <w:pStyle w:val="0"/>
            </w:pPr>
            <w:r>
              <w:rPr>
                <w:sz w:val="20"/>
              </w:rPr>
              <w:t xml:space="preserve">Индекс уровня финансовой грамотности населения Российской Федерации, опрос</w:t>
            </w:r>
          </w:p>
        </w:tc>
        <w:tc>
          <w:tcPr>
            <w:tcW w:w="2214" w:type="dxa"/>
            <w:tcBorders>
              <w:top w:val="single" w:sz="4"/>
              <w:left w:val="nil"/>
              <w:bottom w:val="nil"/>
              <w:right w:val="nil"/>
            </w:tcBorders>
          </w:tcPr>
          <w:p>
            <w:pPr>
              <w:pStyle w:val="0"/>
              <w:jc w:val="center"/>
            </w:pPr>
            <w:r>
              <w:rPr>
                <w:sz w:val="20"/>
              </w:rPr>
              <w:t xml:space="preserve">54 балла </w:t>
            </w:r>
            <w:hyperlink w:history="0" w:anchor="P350" w:tooltip="&lt;1&gt; Определено с учетом результатов социологического исследования, проведенного в 2022 году по заказу Банка России.">
              <w:r>
                <w:rPr>
                  <w:sz w:val="20"/>
                  <w:color w:val="0000ff"/>
                </w:rPr>
                <w:t xml:space="preserve">&lt;1&gt;</w:t>
              </w:r>
            </w:hyperlink>
          </w:p>
        </w:tc>
        <w:tc>
          <w:tcPr>
            <w:tcW w:w="2214" w:type="dxa"/>
            <w:tcBorders>
              <w:top w:val="single" w:sz="4"/>
              <w:left w:val="nil"/>
              <w:bottom w:val="nil"/>
              <w:right w:val="nil"/>
            </w:tcBorders>
          </w:tcPr>
          <w:p>
            <w:pPr>
              <w:pStyle w:val="0"/>
              <w:jc w:val="center"/>
            </w:pPr>
            <w:r>
              <w:rPr>
                <w:sz w:val="20"/>
              </w:rPr>
              <w:t xml:space="preserve">56 - 62 балла </w:t>
            </w:r>
            <w:hyperlink w:history="0" w:anchor="P352" w:tooltip="&lt;1-1&gt; Может быть уточнен по итогам проведения социологического исследования по оценке уровня финансовой грамотности населения Российской Федерации, запланированного к проведению Банком России в последующие периоды.">
              <w:r>
                <w:rPr>
                  <w:sz w:val="20"/>
                  <w:color w:val="0000ff"/>
                </w:rPr>
                <w:t xml:space="preserve">&lt;1-1&gt;</w:t>
              </w:r>
            </w:hyperlink>
          </w:p>
        </w:tc>
      </w:tr>
      <w:tr>
        <w:tc>
          <w:tcPr>
            <w:gridSpan w:val="3"/>
            <w:tcW w:w="9055" w:type="dxa"/>
            <w:tcBorders>
              <w:top w:val="nil"/>
              <w:left w:val="nil"/>
              <w:bottom w:val="nil"/>
              <w:right w:val="nil"/>
            </w:tcBorders>
          </w:tcPr>
          <w:p>
            <w:pPr>
              <w:pStyle w:val="0"/>
              <w:jc w:val="both"/>
            </w:pPr>
            <w:r>
              <w:rPr>
                <w:sz w:val="20"/>
              </w:rPr>
              <w:t xml:space="preserve">(в ред. </w:t>
            </w:r>
            <w:hyperlink w:history="0" r:id="rId35"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tc>
      </w:tr>
      <w:tr>
        <w:tc>
          <w:tcPr>
            <w:tcW w:w="4627" w:type="dxa"/>
            <w:tcBorders>
              <w:top w:val="nil"/>
              <w:left w:val="nil"/>
              <w:bottom w:val="nil"/>
              <w:right w:val="nil"/>
            </w:tcBorders>
          </w:tcPr>
          <w:p>
            <w:pPr>
              <w:pStyle w:val="0"/>
            </w:pPr>
            <w:r>
              <w:rPr>
                <w:sz w:val="20"/>
              </w:rPr>
              <w:t xml:space="preserve">Уровень внедрения финансовой грамотности в систему образования на уровне субъектов Российской Федерации, процентов:</w:t>
            </w:r>
          </w:p>
        </w:tc>
        <w:tc>
          <w:tcPr>
            <w:tcW w:w="2214" w:type="dxa"/>
            <w:tcBorders>
              <w:top w:val="nil"/>
              <w:left w:val="nil"/>
              <w:bottom w:val="nil"/>
              <w:right w:val="nil"/>
            </w:tcBorders>
          </w:tcPr>
          <w:p>
            <w:pPr>
              <w:pStyle w:val="0"/>
              <w:jc w:val="center"/>
            </w:pPr>
            <w:r>
              <w:rPr>
                <w:sz w:val="20"/>
              </w:rPr>
              <w:t xml:space="preserve">38 процентов</w:t>
            </w:r>
          </w:p>
        </w:tc>
        <w:tc>
          <w:tcPr>
            <w:tcW w:w="2214" w:type="dxa"/>
            <w:tcBorders>
              <w:top w:val="nil"/>
              <w:left w:val="nil"/>
              <w:bottom w:val="nil"/>
              <w:right w:val="nil"/>
            </w:tcBorders>
          </w:tcPr>
          <w:p>
            <w:pPr>
              <w:pStyle w:val="0"/>
              <w:jc w:val="center"/>
            </w:pPr>
            <w:r>
              <w:rPr>
                <w:sz w:val="20"/>
              </w:rPr>
              <w:t xml:space="preserve">60 процентов</w:t>
            </w:r>
          </w:p>
        </w:tc>
      </w:tr>
      <w:tr>
        <w:tc>
          <w:tcPr>
            <w:tcW w:w="4627" w:type="dxa"/>
            <w:tcBorders>
              <w:top w:val="nil"/>
              <w:left w:val="nil"/>
              <w:bottom w:val="nil"/>
              <w:right w:val="nil"/>
            </w:tcBorders>
          </w:tcPr>
          <w:p>
            <w:pPr>
              <w:pStyle w:val="0"/>
            </w:pPr>
            <w:r>
              <w:rPr>
                <w:sz w:val="20"/>
              </w:rPr>
              <w:t xml:space="preserve">отношение количества обучающихся общеобразовательных организаций и профессиональных 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и профессиональных образовательных организаций </w:t>
            </w:r>
            <w:hyperlink w:history="0" w:anchor="P354" w:tooltip="&lt;2&gt; Рассчитывается на основании данных, представленных по соответствующим индикаторам качества управления региональными финансами в субъектах Российской Федерации, включенным в приказ Минфина России от 3 декабря 2010 г. N 552 &quot;О порядке осуществления мониторинга и оценки качества управления региональными финансами&quot;.">
              <w:r>
                <w:rPr>
                  <w:sz w:val="20"/>
                  <w:color w:val="0000ff"/>
                </w:rPr>
                <w:t xml:space="preserve">&lt;2&gt;</w:t>
              </w:r>
            </w:hyperlink>
            <w:r>
              <w:rPr>
                <w:sz w:val="20"/>
              </w:rPr>
              <w:t xml:space="preserve">, процентов;</w:t>
            </w:r>
          </w:p>
        </w:tc>
        <w:tc>
          <w:tcPr>
            <w:tcW w:w="2214" w:type="dxa"/>
            <w:tcBorders>
              <w:top w:val="nil"/>
              <w:left w:val="nil"/>
              <w:bottom w:val="nil"/>
              <w:right w:val="nil"/>
            </w:tcBorders>
          </w:tcPr>
          <w:p>
            <w:pPr>
              <w:pStyle w:val="0"/>
              <w:jc w:val="center"/>
            </w:pPr>
            <w:r>
              <w:rPr>
                <w:sz w:val="20"/>
              </w:rPr>
              <w:t xml:space="preserve">67 процентов</w:t>
            </w:r>
          </w:p>
        </w:tc>
        <w:tc>
          <w:tcPr>
            <w:tcW w:w="2214" w:type="dxa"/>
            <w:tcBorders>
              <w:top w:val="nil"/>
              <w:left w:val="nil"/>
              <w:bottom w:val="nil"/>
              <w:right w:val="nil"/>
            </w:tcBorders>
          </w:tcPr>
          <w:p>
            <w:pPr>
              <w:pStyle w:val="0"/>
              <w:jc w:val="center"/>
            </w:pPr>
            <w:r>
              <w:rPr>
                <w:sz w:val="20"/>
              </w:rPr>
              <w:t xml:space="preserve">100 процентов</w:t>
            </w:r>
          </w:p>
        </w:tc>
      </w:tr>
      <w:tr>
        <w:tc>
          <w:tcPr>
            <w:tcW w:w="4627" w:type="dxa"/>
            <w:tcBorders>
              <w:top w:val="nil"/>
              <w:left w:val="nil"/>
              <w:bottom w:val="nil"/>
              <w:right w:val="nil"/>
            </w:tcBorders>
          </w:tcPr>
          <w:p>
            <w:pPr>
              <w:pStyle w:val="0"/>
            </w:pPr>
            <w:r>
              <w:rPr>
                <w:sz w:val="20"/>
              </w:rPr>
              <w:t xml:space="preserve">отношение количества педагогических работников общеобразовательных организаций и профессиональных 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и профессиональных образовательных организаций, процентов</w:t>
            </w:r>
          </w:p>
        </w:tc>
        <w:tc>
          <w:tcPr>
            <w:tcW w:w="2214" w:type="dxa"/>
            <w:tcBorders>
              <w:top w:val="nil"/>
              <w:left w:val="nil"/>
              <w:bottom w:val="nil"/>
              <w:right w:val="nil"/>
            </w:tcBorders>
          </w:tcPr>
          <w:p>
            <w:pPr>
              <w:pStyle w:val="0"/>
              <w:jc w:val="center"/>
            </w:pPr>
            <w:r>
              <w:rPr>
                <w:sz w:val="20"/>
              </w:rPr>
              <w:t xml:space="preserve">9 процентов</w:t>
            </w:r>
          </w:p>
        </w:tc>
        <w:tc>
          <w:tcPr>
            <w:tcW w:w="2214" w:type="dxa"/>
            <w:tcBorders>
              <w:top w:val="nil"/>
              <w:left w:val="nil"/>
              <w:bottom w:val="nil"/>
              <w:right w:val="nil"/>
            </w:tcBorders>
          </w:tcPr>
          <w:p>
            <w:pPr>
              <w:pStyle w:val="0"/>
              <w:jc w:val="center"/>
            </w:pPr>
            <w:r>
              <w:rPr>
                <w:sz w:val="20"/>
              </w:rPr>
              <w:t xml:space="preserve">20 процентов</w:t>
            </w:r>
          </w:p>
        </w:tc>
      </w:tr>
      <w:tr>
        <w:tc>
          <w:tcPr>
            <w:tcW w:w="4627" w:type="dxa"/>
            <w:tcBorders>
              <w:top w:val="nil"/>
              <w:left w:val="nil"/>
              <w:bottom w:val="nil"/>
              <w:right w:val="nil"/>
            </w:tcBorders>
          </w:tcPr>
          <w:p>
            <w:pPr>
              <w:pStyle w:val="0"/>
            </w:pPr>
            <w:r>
              <w:rPr>
                <w:sz w:val="20"/>
              </w:rPr>
              <w:t xml:space="preserve">Уровень инфраструктурного развития субъектов Российской Федерации, способствующего повышению финансовой грамотности в субъектах Российской Федерации, процентов:</w:t>
            </w:r>
          </w:p>
        </w:tc>
        <w:tc>
          <w:tcPr>
            <w:tcW w:w="2214" w:type="dxa"/>
            <w:tcBorders>
              <w:top w:val="nil"/>
              <w:left w:val="nil"/>
              <w:bottom w:val="nil"/>
              <w:right w:val="nil"/>
            </w:tcBorders>
          </w:tcPr>
          <w:p>
            <w:pPr>
              <w:pStyle w:val="0"/>
              <w:jc w:val="center"/>
            </w:pPr>
            <w:r>
              <w:rPr>
                <w:sz w:val="20"/>
              </w:rPr>
              <w:t xml:space="preserve">75 процентов</w:t>
            </w:r>
          </w:p>
        </w:tc>
        <w:tc>
          <w:tcPr>
            <w:tcW w:w="2214" w:type="dxa"/>
            <w:tcBorders>
              <w:top w:val="nil"/>
              <w:left w:val="nil"/>
              <w:bottom w:val="nil"/>
              <w:right w:val="nil"/>
            </w:tcBorders>
          </w:tcPr>
          <w:p>
            <w:pPr>
              <w:pStyle w:val="0"/>
              <w:jc w:val="center"/>
            </w:pPr>
            <w:r>
              <w:rPr>
                <w:sz w:val="20"/>
              </w:rPr>
              <w:t xml:space="preserve">100 процентов</w:t>
            </w:r>
          </w:p>
        </w:tc>
      </w:tr>
      <w:tr>
        <w:tc>
          <w:tcPr>
            <w:tcW w:w="4627" w:type="dxa"/>
            <w:tcBorders>
              <w:top w:val="nil"/>
              <w:left w:val="nil"/>
              <w:bottom w:val="nil"/>
              <w:right w:val="nil"/>
            </w:tcBorders>
          </w:tcPr>
          <w:p>
            <w:pPr>
              <w:pStyle w:val="0"/>
            </w:pPr>
            <w:r>
              <w:rPr>
                <w:sz w:val="20"/>
              </w:rPr>
              <w:t xml:space="preserve">отношение количества субъектов Российской Федерации, имеющих региональный центр финансовой грамотности, к общему количеству субъектов Российской Федерации, процентов;</w:t>
            </w:r>
          </w:p>
        </w:tc>
        <w:tc>
          <w:tcPr>
            <w:tcW w:w="2214" w:type="dxa"/>
            <w:tcBorders>
              <w:top w:val="nil"/>
              <w:left w:val="nil"/>
              <w:bottom w:val="nil"/>
              <w:right w:val="nil"/>
            </w:tcBorders>
          </w:tcPr>
          <w:p>
            <w:pPr>
              <w:pStyle w:val="0"/>
              <w:jc w:val="center"/>
            </w:pPr>
            <w:r>
              <w:rPr>
                <w:sz w:val="20"/>
              </w:rPr>
              <w:t xml:space="preserve">62 процента</w:t>
            </w:r>
          </w:p>
        </w:tc>
        <w:tc>
          <w:tcPr>
            <w:tcW w:w="2214" w:type="dxa"/>
            <w:tcBorders>
              <w:top w:val="nil"/>
              <w:left w:val="nil"/>
              <w:bottom w:val="nil"/>
              <w:right w:val="nil"/>
            </w:tcBorders>
          </w:tcPr>
          <w:p>
            <w:pPr>
              <w:pStyle w:val="0"/>
              <w:jc w:val="center"/>
            </w:pPr>
            <w:r>
              <w:rPr>
                <w:sz w:val="20"/>
              </w:rPr>
              <w:t xml:space="preserve">100 процентов</w:t>
            </w:r>
          </w:p>
        </w:tc>
      </w:tr>
      <w:tr>
        <w:tc>
          <w:tcPr>
            <w:tcW w:w="4627" w:type="dxa"/>
            <w:tcBorders>
              <w:top w:val="nil"/>
              <w:left w:val="nil"/>
              <w:bottom w:val="nil"/>
              <w:right w:val="nil"/>
            </w:tcBorders>
          </w:tcPr>
          <w:p>
            <w:pPr>
              <w:pStyle w:val="0"/>
            </w:pPr>
            <w:r>
              <w:rPr>
                <w:sz w:val="20"/>
              </w:rPr>
              <w:t xml:space="preserve">отношение количества субъектов Российской Федерации, имеющих информационный ресурс, способствующий повышению финансовой грамотности, к общему количеству субъектов Российской Федерации, процентов;</w:t>
            </w:r>
          </w:p>
        </w:tc>
        <w:tc>
          <w:tcPr>
            <w:tcW w:w="2214" w:type="dxa"/>
            <w:tcBorders>
              <w:top w:val="nil"/>
              <w:left w:val="nil"/>
              <w:bottom w:val="nil"/>
              <w:right w:val="nil"/>
            </w:tcBorders>
          </w:tcPr>
          <w:p>
            <w:pPr>
              <w:pStyle w:val="0"/>
              <w:jc w:val="center"/>
            </w:pPr>
            <w:r>
              <w:rPr>
                <w:sz w:val="20"/>
              </w:rPr>
              <w:t xml:space="preserve">73 процента</w:t>
            </w:r>
          </w:p>
        </w:tc>
        <w:tc>
          <w:tcPr>
            <w:tcW w:w="2214" w:type="dxa"/>
            <w:tcBorders>
              <w:top w:val="nil"/>
              <w:left w:val="nil"/>
              <w:bottom w:val="nil"/>
              <w:right w:val="nil"/>
            </w:tcBorders>
          </w:tcPr>
          <w:p>
            <w:pPr>
              <w:pStyle w:val="0"/>
              <w:jc w:val="center"/>
            </w:pPr>
            <w:r>
              <w:rPr>
                <w:sz w:val="20"/>
              </w:rPr>
              <w:t xml:space="preserve">100 процентов</w:t>
            </w:r>
          </w:p>
        </w:tc>
      </w:tr>
      <w:tr>
        <w:tc>
          <w:tcPr>
            <w:tcW w:w="4627" w:type="dxa"/>
            <w:tcBorders>
              <w:top w:val="nil"/>
              <w:left w:val="nil"/>
              <w:bottom w:val="nil"/>
              <w:right w:val="nil"/>
            </w:tcBorders>
          </w:tcPr>
          <w:p>
            <w:pPr>
              <w:pStyle w:val="0"/>
            </w:pPr>
            <w:r>
              <w:rPr>
                <w:sz w:val="20"/>
              </w:rPr>
              <w:t xml:space="preserve">отношение количества субъектов Российской Федерации, реализующих практики инициативного бюджетирования, иные практики, к общему количеству субъектов Российской Федерации, процентов</w:t>
            </w:r>
          </w:p>
        </w:tc>
        <w:tc>
          <w:tcPr>
            <w:tcW w:w="2214" w:type="dxa"/>
            <w:tcBorders>
              <w:top w:val="nil"/>
              <w:left w:val="nil"/>
              <w:bottom w:val="nil"/>
              <w:right w:val="nil"/>
            </w:tcBorders>
          </w:tcPr>
          <w:p>
            <w:pPr>
              <w:pStyle w:val="0"/>
              <w:jc w:val="center"/>
            </w:pPr>
            <w:r>
              <w:rPr>
                <w:sz w:val="20"/>
              </w:rPr>
              <w:t xml:space="preserve">90 процентов</w:t>
            </w:r>
          </w:p>
        </w:tc>
        <w:tc>
          <w:tcPr>
            <w:tcW w:w="2214" w:type="dxa"/>
            <w:tcBorders>
              <w:top w:val="nil"/>
              <w:left w:val="nil"/>
              <w:bottom w:val="nil"/>
              <w:right w:val="nil"/>
            </w:tcBorders>
          </w:tcPr>
          <w:p>
            <w:pPr>
              <w:pStyle w:val="0"/>
              <w:jc w:val="center"/>
            </w:pPr>
            <w:r>
              <w:rPr>
                <w:sz w:val="20"/>
              </w:rPr>
              <w:t xml:space="preserve">100 процентов</w:t>
            </w:r>
          </w:p>
        </w:tc>
      </w:tr>
      <w:tr>
        <w:tc>
          <w:tcPr>
            <w:tcW w:w="4627" w:type="dxa"/>
            <w:tcBorders>
              <w:top w:val="nil"/>
              <w:left w:val="nil"/>
              <w:bottom w:val="nil"/>
              <w:right w:val="nil"/>
            </w:tcBorders>
          </w:tcPr>
          <w:p>
            <w:pPr>
              <w:pStyle w:val="0"/>
            </w:pPr>
            <w:r>
              <w:rPr>
                <w:sz w:val="20"/>
              </w:rPr>
              <w:t xml:space="preserve">Индекс развития финансовой культуры</w:t>
            </w:r>
          </w:p>
        </w:tc>
        <w:tc>
          <w:tcPr>
            <w:tcW w:w="2214" w:type="dxa"/>
            <w:tcBorders>
              <w:top w:val="nil"/>
              <w:left w:val="nil"/>
              <w:bottom w:val="nil"/>
              <w:right w:val="nil"/>
            </w:tcBorders>
          </w:tcPr>
          <w:p>
            <w:pPr>
              <w:pStyle w:val="0"/>
              <w:jc w:val="center"/>
            </w:pPr>
            <w:r>
              <w:rPr>
                <w:sz w:val="20"/>
              </w:rPr>
              <w:t xml:space="preserve">39,5 балла </w:t>
            </w:r>
            <w:hyperlink w:history="0" w:anchor="P355" w:tooltip="&lt;3&gt; Рассчитано на основании результатов проведенного в 2024 году социологического исследования, характеризующего ценности, установки и поведенческие практики граждан в сфере финансов, а также на основании полученных по итогам 2023 года статистических данных, отражающих фактическое поведение и активность граждан, в том числе на отдельных сегментах финансового рынка.">
              <w:r>
                <w:rPr>
                  <w:sz w:val="20"/>
                  <w:color w:val="0000ff"/>
                </w:rPr>
                <w:t xml:space="preserve">&lt;3&gt;</w:t>
              </w:r>
            </w:hyperlink>
          </w:p>
        </w:tc>
        <w:tc>
          <w:tcPr>
            <w:tcW w:w="2214" w:type="dxa"/>
            <w:tcBorders>
              <w:top w:val="nil"/>
              <w:left w:val="nil"/>
              <w:bottom w:val="nil"/>
              <w:right w:val="nil"/>
            </w:tcBorders>
          </w:tcPr>
          <w:p>
            <w:pPr>
              <w:pStyle w:val="0"/>
              <w:jc w:val="center"/>
            </w:pPr>
            <w:r>
              <w:rPr>
                <w:sz w:val="20"/>
              </w:rPr>
              <w:t xml:space="preserve">48 - 54 балла </w:t>
            </w:r>
            <w:hyperlink w:history="0" w:anchor="P357" w:tooltip="&lt;4&gt; Определен с учетом результатов проведенного в 2024 году социологического исследования, характеризующего ценности, установки и поведенческие практики граждан в сфере финансов, а также на основании полученных по итогам 2023 года статистических данных, отражающих фактическое поведение и активность граждан, в том числе на отдельных сегментах финансового рынка. Может быть уточнен по итогам осуществления расчета индикатора (показателя), запланированного к проведению Минфином России и Банком России в послед...">
              <w:r>
                <w:rPr>
                  <w:sz w:val="20"/>
                  <w:color w:val="0000ff"/>
                </w:rPr>
                <w:t xml:space="preserve">&lt;4&gt;</w:t>
              </w:r>
            </w:hyperlink>
          </w:p>
        </w:tc>
      </w:tr>
      <w:tr>
        <w:tc>
          <w:tcPr>
            <w:gridSpan w:val="3"/>
            <w:tcW w:w="9055" w:type="dxa"/>
            <w:tcBorders>
              <w:top w:val="nil"/>
              <w:left w:val="nil"/>
              <w:bottom w:val="single" w:sz="4"/>
              <w:right w:val="nil"/>
            </w:tcBorders>
          </w:tcPr>
          <w:p>
            <w:pPr>
              <w:pStyle w:val="0"/>
              <w:jc w:val="both"/>
            </w:pPr>
            <w:r>
              <w:rPr>
                <w:sz w:val="20"/>
              </w:rPr>
              <w:t xml:space="preserve">(в ред. </w:t>
            </w:r>
            <w:hyperlink w:history="0" r:id="rId36"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tc>
      </w:tr>
    </w:tbl>
    <w:p>
      <w:pPr>
        <w:pStyle w:val="0"/>
        <w:jc w:val="both"/>
      </w:pPr>
      <w:r>
        <w:rPr>
          <w:sz w:val="20"/>
        </w:rPr>
      </w:r>
    </w:p>
    <w:p>
      <w:pPr>
        <w:pStyle w:val="0"/>
        <w:ind w:firstLine="540"/>
        <w:jc w:val="both"/>
      </w:pPr>
      <w:r>
        <w:rPr>
          <w:sz w:val="20"/>
        </w:rPr>
        <w:t xml:space="preserve">--------------------------------</w:t>
      </w:r>
    </w:p>
    <w:bookmarkStart w:id="350" w:name="P350"/>
    <w:bookmarkEnd w:id="350"/>
    <w:p>
      <w:pPr>
        <w:pStyle w:val="0"/>
        <w:spacing w:before="200" w:lineRule="auto"/>
        <w:ind w:firstLine="540"/>
        <w:jc w:val="both"/>
      </w:pPr>
      <w:r>
        <w:rPr>
          <w:sz w:val="20"/>
        </w:rPr>
        <w:t xml:space="preserve">&lt;1&gt; Определено с учетом результатов социологического исследования, проведенного в 2022 году по заказу Банка России.</w:t>
      </w:r>
    </w:p>
    <w:p>
      <w:pPr>
        <w:pStyle w:val="0"/>
        <w:jc w:val="both"/>
      </w:pPr>
      <w:r>
        <w:rPr>
          <w:sz w:val="20"/>
        </w:rPr>
        <w:t xml:space="preserve">(сноска в ред. </w:t>
      </w:r>
      <w:hyperlink w:history="0" r:id="rId37"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распоряжения</w:t>
        </w:r>
      </w:hyperlink>
      <w:r>
        <w:rPr>
          <w:sz w:val="20"/>
        </w:rPr>
        <w:t xml:space="preserve"> Правительства РФ от 15.10.2025 N 2868-р)</w:t>
      </w:r>
    </w:p>
    <w:bookmarkStart w:id="352" w:name="P352"/>
    <w:bookmarkEnd w:id="352"/>
    <w:p>
      <w:pPr>
        <w:pStyle w:val="0"/>
        <w:spacing w:before="200" w:lineRule="auto"/>
        <w:ind w:firstLine="540"/>
        <w:jc w:val="both"/>
      </w:pPr>
      <w:r>
        <w:rPr>
          <w:sz w:val="20"/>
        </w:rPr>
        <w:t xml:space="preserve">&lt;1-1&gt; Может быть уточнен по итогам проведения социологического исследования по оценке уровня финансовой грамотности населения Российской Федерации, запланированного к проведению Банком России в последующие периоды.</w:t>
      </w:r>
    </w:p>
    <w:p>
      <w:pPr>
        <w:pStyle w:val="0"/>
        <w:jc w:val="both"/>
      </w:pPr>
      <w:r>
        <w:rPr>
          <w:sz w:val="20"/>
        </w:rPr>
        <w:t xml:space="preserve">(сноска введена </w:t>
      </w:r>
      <w:hyperlink w:history="0" r:id="rId38"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распоряжением</w:t>
        </w:r>
      </w:hyperlink>
      <w:r>
        <w:rPr>
          <w:sz w:val="20"/>
        </w:rPr>
        <w:t xml:space="preserve"> Правительства РФ от 15.10.2025 N 2868-р)</w:t>
      </w:r>
    </w:p>
    <w:bookmarkStart w:id="354" w:name="P354"/>
    <w:bookmarkEnd w:id="354"/>
    <w:p>
      <w:pPr>
        <w:pStyle w:val="0"/>
        <w:spacing w:before="200" w:lineRule="auto"/>
        <w:ind w:firstLine="540"/>
        <w:jc w:val="both"/>
      </w:pPr>
      <w:r>
        <w:rPr>
          <w:sz w:val="20"/>
        </w:rPr>
        <w:t xml:space="preserve">&lt;2&gt; Рассчитывается на основании данных, представленных по соответствующим </w:t>
      </w:r>
      <w:hyperlink w:history="0" r:id="rId39" w:tooltip="Приказ Минфина России от 03.12.2010 N 552 (ред. от 31.07.2025) &quot;О Порядке осуществления мониторинга и оценки качества управления региональными финансами&quot; (с изм. и доп., вступ. в силу с 01.01.2026) {КонсультантПлюс}">
        <w:r>
          <w:rPr>
            <w:sz w:val="20"/>
            <w:color w:val="0000ff"/>
          </w:rPr>
          <w:t xml:space="preserve">индикаторам</w:t>
        </w:r>
      </w:hyperlink>
      <w:r>
        <w:rPr>
          <w:sz w:val="20"/>
        </w:rPr>
        <w:t xml:space="preserve"> качества управления региональными финансами в субъектах Российской Федерации, включенным в приказ Минфина России от 3 декабря 2010 г. N 552 "О порядке осуществления мониторинга и оценки качества управления региональными финансами".</w:t>
      </w:r>
    </w:p>
    <w:bookmarkStart w:id="355" w:name="P355"/>
    <w:bookmarkEnd w:id="355"/>
    <w:p>
      <w:pPr>
        <w:pStyle w:val="0"/>
        <w:spacing w:before="200" w:lineRule="auto"/>
        <w:ind w:firstLine="540"/>
        <w:jc w:val="both"/>
      </w:pPr>
      <w:r>
        <w:rPr>
          <w:sz w:val="20"/>
        </w:rPr>
        <w:t xml:space="preserve">&lt;3&gt; Рассчитано на основании результатов проведенного в 2024 году социологического исследования, характеризующего ценности, установки и поведенческие практики граждан в сфере финансов, а также на основании полученных по итогам 2023 года статистических данных, отражающих фактическое поведение и активность граждан, в том числе на отдельных сегментах финансового рынка.</w:t>
      </w:r>
    </w:p>
    <w:p>
      <w:pPr>
        <w:pStyle w:val="0"/>
        <w:jc w:val="both"/>
      </w:pPr>
      <w:r>
        <w:rPr>
          <w:sz w:val="20"/>
        </w:rPr>
        <w:t xml:space="preserve">(сноска введена </w:t>
      </w:r>
      <w:hyperlink w:history="0" r:id="rId40"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распоряжением</w:t>
        </w:r>
      </w:hyperlink>
      <w:r>
        <w:rPr>
          <w:sz w:val="20"/>
        </w:rPr>
        <w:t xml:space="preserve"> Правительства РФ от 15.10.2025 N 2868-р)</w:t>
      </w:r>
    </w:p>
    <w:bookmarkStart w:id="357" w:name="P357"/>
    <w:bookmarkEnd w:id="357"/>
    <w:p>
      <w:pPr>
        <w:pStyle w:val="0"/>
        <w:spacing w:before="200" w:lineRule="auto"/>
        <w:ind w:firstLine="540"/>
        <w:jc w:val="both"/>
      </w:pPr>
      <w:r>
        <w:rPr>
          <w:sz w:val="20"/>
        </w:rPr>
        <w:t xml:space="preserve">&lt;4&gt; Определен с учетом результатов проведенного в 2024 году социологического исследования, характеризующего ценности, установки и поведенческие практики граждан в сфере финансов, а также на основании полученных по итогам 2023 года статистических данных, отражающих фактическое поведение и активность граждан, в том числе на отдельных сегментах финансового рынка. Может быть уточнен по итогам осуществления расчета индикатора (показателя), запланированного к проведению Минфином России и Банком России в последующие периоды.</w:t>
      </w:r>
    </w:p>
    <w:p>
      <w:pPr>
        <w:pStyle w:val="0"/>
        <w:jc w:val="both"/>
      </w:pPr>
      <w:r>
        <w:rPr>
          <w:sz w:val="20"/>
        </w:rPr>
        <w:t xml:space="preserve">(сноска введена </w:t>
      </w:r>
      <w:hyperlink w:history="0" r:id="rId41" w:tooltip="Распоряжение Правительства РФ от 15.10.2025 N 2868-р &lt;О внесении изменений в распоряжение Правительства РФ от 24.10.2023 N 2958-р&gt; {КонсультантПлюс}">
        <w:r>
          <w:rPr>
            <w:sz w:val="20"/>
            <w:color w:val="0000ff"/>
          </w:rPr>
          <w:t xml:space="preserve">распоряжением</w:t>
        </w:r>
      </w:hyperlink>
      <w:r>
        <w:rPr>
          <w:sz w:val="20"/>
        </w:rPr>
        <w:t xml:space="preserve"> Правительства РФ от 15.10.2025 N 2868-р)</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24.10.2023 N 2958-р</w:t>
            <w:br/>
            <w:t>(ред. от 15.10.2025)</w:t>
            <w:br/>
            <w:t>&lt;Об утверждении Стратегии повышения финансовой...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6685&amp;dst=100003" TargetMode = "External"/><Relationship Id="rId9" Type="http://schemas.openxmlformats.org/officeDocument/2006/relationships/hyperlink" Target="https://login.consultant.ru/link/?req=doc&amp;base=LAW&amp;n=530215&amp;dst=100004" TargetMode = "External"/><Relationship Id="rId10" Type="http://schemas.openxmlformats.org/officeDocument/2006/relationships/hyperlink" Target="https://login.consultant.ru/link/?req=doc&amp;base=LAW&amp;n=516685&amp;dst=100003" TargetMode = "External"/><Relationship Id="rId11" Type="http://schemas.openxmlformats.org/officeDocument/2006/relationships/hyperlink" Target="https://login.consultant.ru/link/?req=doc&amp;base=LAW&amp;n=278903&amp;dst=100011" TargetMode = "External"/><Relationship Id="rId12" Type="http://schemas.openxmlformats.org/officeDocument/2006/relationships/hyperlink" Target="https://login.consultant.ru/link/?req=doc&amp;base=LAW&amp;n=475991" TargetMode = "External"/><Relationship Id="rId13" Type="http://schemas.openxmlformats.org/officeDocument/2006/relationships/hyperlink" Target="https://login.consultant.ru/link/?req=doc&amp;base=LAW&amp;n=516685&amp;dst=100008"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LAW&amp;n=480785&amp;dst=1" TargetMode = "External"/><Relationship Id="rId16" Type="http://schemas.openxmlformats.org/officeDocument/2006/relationships/hyperlink" Target="https://login.consultant.ru/link/?req=doc&amp;base=LAW&amp;n=515330&amp;dst=100022" TargetMode = "External"/><Relationship Id="rId17" Type="http://schemas.openxmlformats.org/officeDocument/2006/relationships/hyperlink" Target="https://login.consultant.ru/link/?req=doc&amp;base=LAW&amp;n=532901&amp;dst=100093" TargetMode = "External"/><Relationship Id="rId18" Type="http://schemas.openxmlformats.org/officeDocument/2006/relationships/hyperlink" Target="https://login.consultant.ru/link/?req=doc&amp;base=LAW&amp;n=527194&amp;dst=20190" TargetMode = "External"/><Relationship Id="rId19" Type="http://schemas.openxmlformats.org/officeDocument/2006/relationships/hyperlink" Target="https://login.consultant.ru/link/?req=doc&amp;base=LAW&amp;n=522570&amp;dst=100019" TargetMode = "External"/><Relationship Id="rId20" Type="http://schemas.openxmlformats.org/officeDocument/2006/relationships/hyperlink" Target="https://login.consultant.ru/link/?req=doc&amp;base=LAW&amp;n=180402&amp;dst=100009" TargetMode = "External"/><Relationship Id="rId21" Type="http://schemas.openxmlformats.org/officeDocument/2006/relationships/hyperlink" Target="https://login.consultant.ru/link/?req=doc&amp;base=LAW&amp;n=495719" TargetMode = "External"/><Relationship Id="rId22" Type="http://schemas.openxmlformats.org/officeDocument/2006/relationships/hyperlink" Target="https://login.consultant.ru/link/?req=doc&amp;base=LAW&amp;n=516685&amp;dst=100010" TargetMode = "External"/><Relationship Id="rId23" Type="http://schemas.openxmlformats.org/officeDocument/2006/relationships/hyperlink" Target="https://login.consultant.ru/link/?req=doc&amp;base=LAW&amp;n=420869&amp;dst=100009" TargetMode = "External"/><Relationship Id="rId24" Type="http://schemas.openxmlformats.org/officeDocument/2006/relationships/hyperlink" Target="https://login.consultant.ru/link/?req=doc&amp;base=LAW&amp;n=435331&amp;dst=100009" TargetMode = "External"/><Relationship Id="rId25" Type="http://schemas.openxmlformats.org/officeDocument/2006/relationships/hyperlink" Target="https://login.consultant.ru/link/?req=doc&amp;base=LAW&amp;n=465377&amp;dst=100176" TargetMode = "External"/><Relationship Id="rId26" Type="http://schemas.openxmlformats.org/officeDocument/2006/relationships/hyperlink" Target="https://login.consultant.ru/link/?req=doc&amp;base=LAW&amp;n=494681" TargetMode = "External"/><Relationship Id="rId27" Type="http://schemas.openxmlformats.org/officeDocument/2006/relationships/hyperlink" Target="https://login.consultant.ru/link/?req=doc&amp;base=LAW&amp;n=516685&amp;dst=100012" TargetMode = "External"/><Relationship Id="rId28" Type="http://schemas.openxmlformats.org/officeDocument/2006/relationships/hyperlink" Target="https://login.consultant.ru/link/?req=doc&amp;base=LAW&amp;n=278903&amp;dst=100011" TargetMode = "External"/><Relationship Id="rId29" Type="http://schemas.openxmlformats.org/officeDocument/2006/relationships/hyperlink" Target="https://login.consultant.ru/link/?req=doc&amp;base=LAW&amp;n=278903&amp;dst=100011" TargetMode = "External"/><Relationship Id="rId30" Type="http://schemas.openxmlformats.org/officeDocument/2006/relationships/hyperlink" Target="https://login.consultant.ru/link/?req=doc&amp;base=LAW&amp;n=278903&amp;dst=100011" TargetMode = "External"/><Relationship Id="rId31" Type="http://schemas.openxmlformats.org/officeDocument/2006/relationships/hyperlink" Target="https://login.consultant.ru/link/?req=doc&amp;base=LAW&amp;n=278903&amp;dst=100011" TargetMode = "External"/><Relationship Id="rId32" Type="http://schemas.openxmlformats.org/officeDocument/2006/relationships/hyperlink" Target="https://login.consultant.ru/link/?req=doc&amp;base=LAW&amp;n=278903&amp;dst=100011" TargetMode = "External"/><Relationship Id="rId33" Type="http://schemas.openxmlformats.org/officeDocument/2006/relationships/hyperlink" Target="https://login.consultant.ru/link/?req=doc&amp;base=LAW&amp;n=465377&amp;dst=100010" TargetMode = "External"/><Relationship Id="rId34" Type="http://schemas.openxmlformats.org/officeDocument/2006/relationships/hyperlink" Target="https://login.consultant.ru/link/?req=doc&amp;base=LAW&amp;n=516685&amp;dst=100014" TargetMode = "External"/><Relationship Id="rId35" Type="http://schemas.openxmlformats.org/officeDocument/2006/relationships/hyperlink" Target="https://login.consultant.ru/link/?req=doc&amp;base=LAW&amp;n=516685&amp;dst=100015" TargetMode = "External"/><Relationship Id="rId36" Type="http://schemas.openxmlformats.org/officeDocument/2006/relationships/hyperlink" Target="https://login.consultant.ru/link/?req=doc&amp;base=LAW&amp;n=516685&amp;dst=100016" TargetMode = "External"/><Relationship Id="rId37" Type="http://schemas.openxmlformats.org/officeDocument/2006/relationships/hyperlink" Target="https://login.consultant.ru/link/?req=doc&amp;base=LAW&amp;n=516685&amp;dst=100020" TargetMode = "External"/><Relationship Id="rId38" Type="http://schemas.openxmlformats.org/officeDocument/2006/relationships/hyperlink" Target="https://login.consultant.ru/link/?req=doc&amp;base=LAW&amp;n=516685&amp;dst=100022" TargetMode = "External"/><Relationship Id="rId39" Type="http://schemas.openxmlformats.org/officeDocument/2006/relationships/hyperlink" Target="https://login.consultant.ru/link/?req=doc&amp;base=LAW&amp;n=512721&amp;dst=100165" TargetMode = "External"/><Relationship Id="rId40" Type="http://schemas.openxmlformats.org/officeDocument/2006/relationships/hyperlink" Target="https://login.consultant.ru/link/?req=doc&amp;base=LAW&amp;n=516685&amp;dst=100024" TargetMode = "External"/><Relationship Id="rId41" Type="http://schemas.openxmlformats.org/officeDocument/2006/relationships/hyperlink" Target="https://login.consultant.ru/link/?req=doc&amp;base=LAW&amp;n=516685&amp;dst=100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dc:title>
  <dcterms:created xsi:type="dcterms:W3CDTF">2026-07-12T12:03:22Z</dcterms:created>
</cp:coreProperties>
</file>